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PROGRAMAÇÃO PEDAGÓGICA ESPECIAL SOPHOS 2020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/>
      </w:pPr>
      <w:r w:rsidDel="00000000" w:rsidR="00000000" w:rsidRPr="00000000">
        <w:rPr>
          <w:rtl w:val="0"/>
        </w:rPr>
        <w:t xml:space="preserve">CIÊNCIAS HUMANAS -  2ª SÉRIE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/>
      </w:pPr>
      <w:r w:rsidDel="00000000" w:rsidR="00000000" w:rsidRPr="00000000">
        <w:rPr>
          <w:rtl w:val="0"/>
        </w:rPr>
        <w:t xml:space="preserve">FICHA DE ATIVIDADE 01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280" w:before="280" w:line="240" w:lineRule="auto"/>
        <w:ind w:left="284" w:right="0" w:hanging="28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FILOSOFIA.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“Acompanhando a intenção da burguesia renascentista de ampliar seu domínio sobre a natureza e sobre o espaço geográfico, através da pesquisa científica e da invenção tecnológica, os cientistas também iriam se atirar nessa aventura, tentando conquistar a forma, o movimento, o espaço, a luz, a cor e mesmo a expressão e o sentimento”.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SEVCENKO, N.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Renascimento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Campinas: Unicamp, 1984.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texto apresenta um espírito de época que afetou também a produção artística, marcada pela constante relação entre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fé e misticismo.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ciência e arte.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cultura e comércio. 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política e economia.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 astronomia e religião.  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Sobre Tomás de Aquino, considere o seguinte trecho, extraído de uma conhecida História da Filosofia.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“O sistema tomista baseia-se na determinação rigorosa das relações entre a razão e a revelação. Ao homem, cujo fim último é Deus, o qual excede toda a compreensão da razão, não basta a investigação filosófica baseada na razão. Mesmo aquelas verdades que a razão pode alcançar sozinha, não é dado a todos alcançá-las, e não está livre de erros o caminho que a elas conduz. Foi, portanto, necessário que o homem fosse instruído convenientemente e com mais certeza pela revelação divina. Mas a revelação não anula nem torna inútil a razão: “a graça não elimina a natureza, antes a aperfeiçoa”. A razão natural subordina-se à fé tal como no campo prático as inclinações naturais se subordinam à caridade”.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ABBAGNANO, Nicola.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História da Filosofia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vol. IV. Lisboa: Presença, 1978, p. 29-30.  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 base no texto, é correto afirmar que Tomás de Aquino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buscava conciliar as verdades da fé cristã com as exigências da razão humana.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desprezava, por serem inúteis, as tentativas racionais em compreender as verdades da fé cristã.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rejeitava as verdades da fé cristã que não pudessem ser explicadas plenamente pela razão humana.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subordinava a fé à razão natural, só sendo digno de crença o que pudesse ser cientificamente comprovado.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Nicolau Copérnico fez uma descoberta importantíssima para a formação das ciências modernas, entrando em atrito com a visão predominantemente católica de sua época. Qual foi essa descoberta e qual era visão católica sobre ela?</w:t>
      </w:r>
    </w:p>
    <w:p w:rsidR="00000000" w:rsidDel="00000000" w:rsidP="00000000" w:rsidRDefault="00000000" w:rsidRPr="00000000" w14:paraId="0000001C">
      <w:pPr>
        <w:spacing w:after="0" w:line="360" w:lineRule="auto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d9d9d9" w:val="clear"/>
        <w:spacing w:after="280" w:before="28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II – SOCIOLOGIA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Celulares e carros são, hoje em dia, objetos de grande desejo de consumo. Ter um carro pode representar muita coisa, sucesso com as garotas, inveja dos vizinhos, glamour, requinte. O fato é que poucos podem comprar um carro, estando este objeto longe da realidade da maioria. Celular, por sua vez, é uma mercadoria mais barata que começou com um apelo funcional: a mãe conseguir falar com os ﬁlhos, ligar para alguém de qualquer lugar, uma ligação de emergência. Rapidamente ganhou funções “inúteis”, marcas, modelos e preços diferentes, transformando-se num objeto de forte apelo, capaz de mostrar aos demais “quem você é”, diferenciar ricos de pobres, pessoas de “bom gosto” e pessoas “fora de moda”.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right"/>
        <w:rPr/>
      </w:pPr>
      <w:r w:rsidDel="00000000" w:rsidR="00000000" w:rsidRPr="00000000">
        <w:rPr>
          <w:sz w:val="18"/>
          <w:szCs w:val="18"/>
          <w:rtl w:val="0"/>
        </w:rPr>
        <w:t xml:space="preserve">(Adaptado de http://panoptico.wordpress.com/2007/04/20/celular. Acesso em: 22 abr.2009.)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fenômenos sociais contidos no texto referem-se exclusivamente a: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Mobilidade social ascendente, que expressa a melhora da posição do indivíduo no sistema de estratiﬁcação social, decorrente da posse de mercadorias tecnológicas.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 Grupos de status referentes à hierarquização de pessoas e grupos com base em “estilos de vida” especiais identiﬁcados pela posse de certos atributos e bens peculiares que conferem prestígio, honra e distinção social a seus membros.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 Reiﬁcação, que se refere à iniciativa do homem em atribuir a coisas e objetos inertes características de seres “animados” ou “humanizados”, portadores de propriedades “mágicas”.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 Classes sociais, entendidas como aqueles agrupamentos de pessoas estratiﬁcadas de acordo com suas posições nas relações de produção (propriedade, controle e apropriação dos meios de produção).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Assinale a alternativa correta.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Somente as aﬁrmativas I e IV são corretas.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Somente as aﬁrmativas II e III são corretas.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Somente as aﬁrmativas III e IV são corretas.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Somente as aﬁrmativas I, II e III são corretas.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 Somente as aﬁrmativas I, II e IV são corretas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“As chances de um filho da elite permanecer em sua classe são 20 vezes maiores do que as de um filho de um trabalhador ultrapassar um degrau na escala social”, afirma o sociólogo Carlos Costa Ribeiro, do Instituto Universitário de Pesquisas do Rio de Janeiro (IUPERJ).”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(Gustavo Poloni. Exame, 10/10/2007)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possibilidade de mudança de posição dentro da estrutura social é definida pela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ascensão social.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desigualdade social.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inclusão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mobilidade social.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 segregação.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3. “Antigamente, a pobreza era qualificada como a entrada de pessoas em uma classe social inferior, era ligada a uma visão de que a pessoa seria terminantemente pobre e que ficaria em dada classe social para sempre. Porém, com o tempo e o desenvolvimento de estudos sistemáticos, percebeu-se que a ascensão de pessoas e sua trajetória também seria uma categoria de estudos importante”.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jc w:val="right"/>
        <w:rPr/>
      </w:pPr>
      <w:r w:rsidDel="00000000" w:rsidR="00000000" w:rsidRPr="00000000">
        <w:rPr>
          <w:sz w:val="18"/>
          <w:szCs w:val="18"/>
          <w:rtl w:val="0"/>
        </w:rPr>
        <w:t xml:space="preserve">(SAE, 2. série : Ensino Médio: Sociologia).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          A partir dessa constatação se chegou a dois modelos explicativos: o de mobilidade horizontal e o de mobilidade vertical. Explique sucintamente esses dois modelos.</w:t>
      </w:r>
    </w:p>
    <w:p w:rsidR="00000000" w:rsidDel="00000000" w:rsidP="00000000" w:rsidRDefault="00000000" w:rsidRPr="00000000" w14:paraId="00000041">
      <w:pPr>
        <w:spacing w:after="0" w:line="360" w:lineRule="auto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80" w:before="28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80" w:before="28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d9d9d9" w:val="clear"/>
        <w:spacing w:after="280" w:before="28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III– HISTÓRIA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1. Sobre o processo de Independência dos Estados Unidos ocorrido na segunda metade do século XVIII e assinale a correta: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Enquanto colônia inglesa, os EUA eram pressionados a suprir economicamente a Inglaterra, ainda que não tivesse direito a atuar no Parlamento inglês, motivo de reclamações por parte dos colonos estadunidenses. As leis que excluíam a participação colonial eram chamadas de Leis Intoleráveis. 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b) As colônias do Norte e do Sul dos EUA eram bastante diferentes entre si e demonstravam interesses diferentes em relação à luta pela independência. O Sul, de tradição escravocrata, temia que a emancipação se tornasse uma demanda dos escravizados no final do século XVIII.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c) Com uma forte tradição educacional, as Treze Colônias buscaram a via diplomática com os ingleses antes de partirem para o conflito armado. Os Congressos da Filadélfia (1774 e 1776) foram organizados para que ingleses e norte-americanos negociassem um encerramento para as animosidades entre ambos os lados. 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d) A luta pela independência teve início quando o Norte, inserido no comércio triangular, viu sua atuação econômica limitada pela metrópole. Mesmo com as diferenças entre Norte e Sul, as 13 colônias uniram-se para colocar fim à relação colonial, favorecendo economicamente o Norte. </w:t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e) Ainda que a Declaração da Independência tenha sido redigida em 1776, isso não significou a liberdade imediata da colônia estadunidense, uma vez que esta entrou em guerra contra as forças inglesas até meados da década de 1780. A aceitação da independência por parte da Inglaterra se deu a partir da mediação dos franceses.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/>
      </w:pPr>
      <w:r w:rsidDel="00000000" w:rsidR="00000000" w:rsidRPr="00000000">
        <w:rPr>
          <w:color w:val="ff0000"/>
          <w:rtl w:val="0"/>
        </w:rPr>
        <w:t xml:space="preserve">2.  </w:t>
      </w:r>
      <w:r w:rsidDel="00000000" w:rsidR="00000000" w:rsidRPr="00000000">
        <w:rPr>
          <w:rtl w:val="0"/>
        </w:rPr>
        <w:t xml:space="preserve">“Três semanas após o 14 de juIho, a estrutura social do feudalismo rural francês e a máquina estatal da França Real ruíam em pedaços. [...] A classe média e a aristocracia imediatamente aceitaram o inevitável: todos os privilégios feudais foram oficialmente abolidos [...] No final de agosto, a revolução tinha também adquirido seu manifesto formal, a Declaração dos Direitos do Homem e do Cidadão. Em contrapartida, o rei resistiu com sua costumeira estupidez, e setores revolucionários da classe média, amedrontados com as implicações sociais do levante de massa começaram a pensar que era chegada a hora do conservadorismo. [...] Repetidas vezes veremos moderados reformadores da classe média mobilizando as massas contra a resistência obstinada ou a contrarrevolução. Veremos as massas indo além dos objetivos dos moderados rumo a suas próprias revoluções sociais, e os moderados, por sua vez, dividindo--se em um grupo conservador, daí em diante fazendo causa comum com os reacionários, e um grupo de esquerda, determinado a perseguir o resto dos objetivos moderados, ainda não alcançados, com o auxílio das massas, mesmo com o risco de perder o controle sobre elas.”</w:t>
      </w:r>
    </w:p>
    <w:p w:rsidR="00000000" w:rsidDel="00000000" w:rsidP="00000000" w:rsidRDefault="00000000" w:rsidRPr="00000000" w14:paraId="0000004E">
      <w:pPr>
        <w:spacing w:after="0"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(HOBSBAWM, Eric. </w:t>
      </w:r>
      <w:r w:rsidDel="00000000" w:rsidR="00000000" w:rsidRPr="00000000">
        <w:rPr>
          <w:b w:val="1"/>
          <w:sz w:val="18"/>
          <w:szCs w:val="18"/>
          <w:rtl w:val="0"/>
        </w:rPr>
        <w:t xml:space="preserve">A Era das revoluções</w:t>
      </w:r>
      <w:r w:rsidDel="00000000" w:rsidR="00000000" w:rsidRPr="00000000">
        <w:rPr>
          <w:sz w:val="18"/>
          <w:szCs w:val="18"/>
          <w:rtl w:val="0"/>
        </w:rPr>
        <w:t xml:space="preserve">. São Paulo: Companhia das Letras, 1997. p. 80.)</w:t>
      </w:r>
    </w:p>
    <w:p w:rsidR="00000000" w:rsidDel="00000000" w:rsidP="00000000" w:rsidRDefault="00000000" w:rsidRPr="00000000" w14:paraId="0000004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                 Sobre este assunto, assinale as alternativas corretas: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Entre os privilégios feudais citados por Hobsbawm que chegaram ao fim podemos indicar a isenção de pagamento de impostos pelo Primeiro e Segundo Estados, desde que eles ajudassem os cofres públicos em casos extremos, como o de guerras em que a França participasse. 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b) A Revolução Francesa é um marco tão fundamental na história ocidental porque foi um movimento organizado e de objetivos claros e definidos desde o começo. Como mostra o texto de Hobsbawm, tais objetivos foram prontamente atingidos.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c) O fato de a realeza ter sido mantida por certo tempo após a eclosão da Revolução mostra que o fim da monarquia em si não estava nos planos iniciais dos revolucionários, sendo uma consequência da ação direta do próprio rei contra o movimento que se desenvolvia na França. 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d) A situação citada pelo autor de perda de controle das massas por parte dos reformadores moderados ocorreu durante a Revolução Francesa, culminando com a tomada do poder por parte dos girondinos e a instauração do período do Terror (1793-1794). 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e) Entre os motivos que podemos apontar para a irrupção da Revolução estão, além das estruturas feudais citadas no texto, a bancarrota em que se encontrava a economia francesa após o financiamento da Independência dos EUA. 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/>
      </w:pPr>
      <w:r w:rsidDel="00000000" w:rsidR="00000000" w:rsidRPr="00000000">
        <w:rPr>
          <w:color w:val="ff0000"/>
          <w:rtl w:val="0"/>
        </w:rPr>
        <w:t xml:space="preserve">3.  </w:t>
      </w:r>
      <w:r w:rsidDel="00000000" w:rsidR="00000000" w:rsidRPr="00000000">
        <w:rPr>
          <w:rtl w:val="0"/>
        </w:rPr>
        <w:t xml:space="preserve">"Consideramos estas verdades autoevidentes: que todos os homens são criados iguais, dotados pelo seu Criador de certos Direitos inalienáveis, que entre estes estão a Vida, a Liberdade e a busca da Felicidade". Com essa única frase, Jefferson transformou um típico documento do século XVIII sobre injustiças políticas numa proclamação duradoura dos direitos humanos. [...] Essa afirmação de autoevidência, crucial para os direitos humanos mesmo nos dias de hoje, dá origem a um paradoxo: se a igualdade dos direitos é tão autoevidente, por que essa afirmação tinha de ser feita e por que só era feita em tempos e lugares específicos?</w:t>
      </w:r>
    </w:p>
    <w:p w:rsidR="00000000" w:rsidDel="00000000" w:rsidP="00000000" w:rsidRDefault="00000000" w:rsidRPr="00000000" w14:paraId="00000057">
      <w:pPr>
        <w:spacing w:after="0"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(HUNT, Lynn. </w:t>
      </w:r>
      <w:r w:rsidDel="00000000" w:rsidR="00000000" w:rsidRPr="00000000">
        <w:rPr>
          <w:b w:val="1"/>
          <w:sz w:val="18"/>
          <w:szCs w:val="18"/>
          <w:rtl w:val="0"/>
        </w:rPr>
        <w:t xml:space="preserve">A invenção dos direitos humanos</w:t>
      </w:r>
      <w:r w:rsidDel="00000000" w:rsidR="00000000" w:rsidRPr="00000000">
        <w:rPr>
          <w:sz w:val="18"/>
          <w:szCs w:val="18"/>
          <w:rtl w:val="0"/>
        </w:rPr>
        <w:t xml:space="preserve">: uma história. São Paulo: Companhia das Letras, 2009. p. 13; 18.) 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O texto de Lynn Hunt sobre os direitos humanos tem início com uma reflexão sobre a Declaração de Independência dos EUA, elaborado em 1776. A partir da leitura e de seus conhecimentos sobre o tema, responda: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Qual é a incongruência que podemos apontar entre a Declaração de Independência dos EUA e a realidade deste Estado no final do século XVIII?</w:t>
      </w:r>
    </w:p>
    <w:p w:rsidR="00000000" w:rsidDel="00000000" w:rsidP="00000000" w:rsidRDefault="00000000" w:rsidRPr="00000000" w14:paraId="0000005A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b) A luta pela independência da metrópole inglesa e o conteúdo da Declaração de 1776 apontam importante mudança no pensamento político do século XVIII. Que corrente filosófica impactou o século XVIII e quais as críticas produzidas por ela?</w:t>
      </w:r>
    </w:p>
    <w:p w:rsidR="00000000" w:rsidDel="00000000" w:rsidP="00000000" w:rsidRDefault="00000000" w:rsidRPr="00000000" w14:paraId="0000005C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28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tabs>
          <w:tab w:val="left" w:pos="284"/>
        </w:tabs>
        <w:spacing w:after="280" w:before="0" w:line="240" w:lineRule="auto"/>
        <w:ind w:left="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IV -   GEOGRAFIA.</w:t>
      </w:r>
    </w:p>
    <w:p w:rsidR="00000000" w:rsidDel="00000000" w:rsidP="00000000" w:rsidRDefault="00000000" w:rsidRPr="00000000" w14:paraId="0000006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As restingas podem ser definidas como depósitos arenosos produzidos por processos de dinâmica costeira atual (fortes correntes de deriva litorânea, podendo interagir com correntes de maré e fluxos fluviais), formando feições alongadas, paralelas ou transversais à linha da costa. Podem apresentar retrabalhamentos locais associados a processos eólicos e fluviais. Quando estáveis, as restingas dão forma às “planícies de restinga”, com desenvolvimento de vegetação herbácea e arbustiva e até arbórea. As restingas são áreas sujeitas a processos erosivos desencadeados, entre outros fatores, pela dinâmica da circulação costeira, pela elevação do nível relativo do mar e pela urbanização. </w:t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righ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(Adaptado de Célia Regina G. Souza e outros, Restinga: conceitos e emprego do termo no Brasil e implicações na legislação ambiental. São Paulo: Instituto Geológico, 2008.) </w:t>
      </w:r>
    </w:p>
    <w:p w:rsidR="00000000" w:rsidDel="00000000" w:rsidP="00000000" w:rsidRDefault="00000000" w:rsidRPr="00000000" w14:paraId="0000006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É correto afirmar que as restingas existentes ao longo da faixa litorânea brasileira são áreas </w:t>
      </w:r>
    </w:p>
    <w:p w:rsidR="00000000" w:rsidDel="00000000" w:rsidP="00000000" w:rsidRDefault="00000000" w:rsidRPr="00000000" w14:paraId="0000006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pouco sobrecarregadas dos ecossistemas costeiros, devido ao modo como ocorreu a ocupação humana, com o processo de urbanização. </w:t>
      </w:r>
    </w:p>
    <w:p w:rsidR="00000000" w:rsidDel="00000000" w:rsidP="00000000" w:rsidRDefault="00000000" w:rsidRPr="00000000" w14:paraId="00000068">
      <w:pPr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onde a cobertura vegetal ocorre em mosaicos, encontrando-se em praias, cordões arenosos, dunas, depressões, serras e planaltos, sem apresentar diferenças fisionômicas importantes.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c) suscetíveis à erosão costeira causada, entre outros fatores, por amplas zonas de transporte de sedimentos, elevação do nível relativo do mar e urbanização acelerada.</w:t>
      </w:r>
    </w:p>
    <w:p w:rsidR="00000000" w:rsidDel="00000000" w:rsidP="00000000" w:rsidRDefault="00000000" w:rsidRPr="00000000" w14:paraId="0000006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d) onde o solo arenoso não apresenta dificuldade para a retenção de água e o acesso a nutrientes necessários ao desenvolvimento da cobertura vegetal herbácea em praias e dunas.</w:t>
      </w:r>
    </w:p>
    <w:p w:rsidR="00000000" w:rsidDel="00000000" w:rsidP="00000000" w:rsidRDefault="00000000" w:rsidRPr="00000000" w14:paraId="0000006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Leia abaixo as afirmações sobre agentes endógenos no relevo brasileiro.</w:t>
      </w:r>
    </w:p>
    <w:p w:rsidR="00000000" w:rsidDel="00000000" w:rsidP="00000000" w:rsidRDefault="00000000" w:rsidRPr="00000000" w14:paraId="0000006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I. A presença de rochas e solos basálticos no Brasil remetem à Era Mesozoica, quando houve derramamentos basálticos na região da Cordilheira dos Andes que chegaram até a Bacia Sedimentar do Paraná.</w:t>
      </w:r>
    </w:p>
    <w:p w:rsidR="00000000" w:rsidDel="00000000" w:rsidP="00000000" w:rsidRDefault="00000000" w:rsidRPr="00000000" w14:paraId="0000006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II. A Serra do Mar é considerada um dobramento antigo, resultado de movimentos orogênicos que soergueram a porção leste da América do Sul, no período Pré-Cambriano.</w:t>
      </w:r>
    </w:p>
    <w:p w:rsidR="00000000" w:rsidDel="00000000" w:rsidP="00000000" w:rsidRDefault="00000000" w:rsidRPr="00000000" w14:paraId="0000006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III. Os fenômenos geológicos que originaram a Cordilheira dos Andes alteraram profundamente o relevo sul-americano, porém não afetaram geologicamente o relevo brasileiro, pois o Brasil se encontra no meio da Placa Sul-Americana.</w:t>
      </w:r>
    </w:p>
    <w:p w:rsidR="00000000" w:rsidDel="00000000" w:rsidP="00000000" w:rsidRDefault="00000000" w:rsidRPr="00000000" w14:paraId="0000006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Está(ão) correta(s) apenas a(s) afirmação(ções):</w:t>
      </w:r>
    </w:p>
    <w:p w:rsidR="00000000" w:rsidDel="00000000" w:rsidP="00000000" w:rsidRDefault="00000000" w:rsidRPr="00000000" w14:paraId="00000070">
      <w:pPr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b) II.</w:t>
      </w:r>
    </w:p>
    <w:p w:rsidR="00000000" w:rsidDel="00000000" w:rsidP="00000000" w:rsidRDefault="00000000" w:rsidRPr="00000000" w14:paraId="0000007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III.</w:t>
      </w:r>
    </w:p>
    <w:p w:rsidR="00000000" w:rsidDel="00000000" w:rsidP="00000000" w:rsidRDefault="00000000" w:rsidRPr="00000000" w14:paraId="0000007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d) I e II.</w:t>
      </w:r>
    </w:p>
    <w:p w:rsidR="00000000" w:rsidDel="00000000" w:rsidP="00000000" w:rsidRDefault="00000000" w:rsidRPr="00000000" w14:paraId="0000007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e) II e III.</w:t>
      </w:r>
    </w:p>
    <w:p w:rsidR="00000000" w:rsidDel="00000000" w:rsidP="00000000" w:rsidRDefault="00000000" w:rsidRPr="00000000" w14:paraId="00000075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Nos últimos 10 anos, houve um aumento considerável, na literatura, de referências sobre os biomas brasileiros. Por outro lado, inúmeras iniciativas voltadas para a indicação de áreas prioritárias para conservação ocorreram neste período, tendo como temática os biomas enfocados regionalmente. </w:t>
      </w:r>
    </w:p>
    <w:p w:rsidR="00000000" w:rsidDel="00000000" w:rsidP="00000000" w:rsidRDefault="00000000" w:rsidRPr="00000000" w14:paraId="00000076">
      <w:pPr>
        <w:jc w:val="right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Brasil: uma visão geográfica e ambiental no início do século XXI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/ Adma Hamam de Figueiredo (org.). Rio de Janeiro: IBGE, Coordenação de Geografia, 2016, p. 139. &lt;Disponível em: http://biblioteca.ibge.gov.br/visualizacao/livros/liv97884.pdf&gt;. Acesso em 30.08.2016.) </w:t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Caracterize, do ponto de vista geográfico </w:t>
      </w:r>
    </w:p>
    <w:p w:rsidR="00000000" w:rsidDel="00000000" w:rsidP="00000000" w:rsidRDefault="00000000" w:rsidRPr="00000000" w14:paraId="00000078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a) O que é um bioma? </w:t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B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b) Cite dois biomas, localizando-os geograficamente no território brasileiro e identificando problemas relacionados à sua conservação. </w:t>
      </w:r>
    </w:p>
    <w:p w:rsidR="00000000" w:rsidDel="00000000" w:rsidP="00000000" w:rsidRDefault="00000000" w:rsidRPr="00000000" w14:paraId="0000007D">
      <w:pPr>
        <w:spacing w:line="360" w:lineRule="auto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284"/>
        </w:tabs>
        <w:spacing w:before="28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567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-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