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  <w:bookmarkStart w:id="0" w:name="_GoBack"/>
      <w:bookmarkEnd w:id="0"/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095A54" w:rsidTr="005B2D3F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4" w:rsidRDefault="00095A54" w:rsidP="005B2D3F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095A54" w:rsidTr="005B2D3F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54" w:rsidRDefault="00095A54" w:rsidP="005B2D3F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62CB4" w:rsidRDefault="009D4D1C" w:rsidP="009D4D1C">
      <w:pPr>
        <w:pStyle w:val="Estilo838"/>
      </w:pPr>
      <w:r>
        <w:t>HISTÓRIA</w:t>
      </w:r>
    </w:p>
    <w:p w:rsidR="00475445" w:rsidRDefault="00475445" w:rsidP="00475445">
      <w:pPr>
        <w:pStyle w:val="Estilo825"/>
        <w:numPr>
          <w:ilvl w:val="0"/>
          <w:numId w:val="0"/>
        </w:numPr>
        <w:ind w:left="426"/>
      </w:pPr>
    </w:p>
    <w:p w:rsidR="00840195" w:rsidRPr="001878DE" w:rsidRDefault="00574A0B" w:rsidP="00840195">
      <w:pPr>
        <w:pStyle w:val="Estilo834"/>
        <w:rPr>
          <w:rFonts w:ascii="Raleway" w:hAnsi="Raleway"/>
        </w:rPr>
      </w:pPr>
      <w:r>
        <w:t xml:space="preserve"> </w:t>
      </w:r>
      <w:r w:rsidR="00840195">
        <w:t>“A estreita faixa de terra que localiza-se entre os rios Tigre e Eufrates, no Oriente Médio, onde atualmente é o Iraque, foi chamada na Antiguidade, de Mesopotâmia, que significa “entre rios” (do grego, </w:t>
      </w:r>
      <w:r w:rsidR="00840195">
        <w:rPr>
          <w:rStyle w:val="nfase"/>
          <w:rFonts w:ascii="Helvetica" w:hAnsi="Helvetica"/>
          <w:color w:val="000000"/>
        </w:rPr>
        <w:t>meso </w:t>
      </w:r>
      <w:r w:rsidR="00840195">
        <w:t>= no meio; </w:t>
      </w:r>
      <w:r w:rsidR="00840195">
        <w:rPr>
          <w:rStyle w:val="nfase"/>
          <w:rFonts w:ascii="Helvetica" w:hAnsi="Helvetica"/>
          <w:color w:val="000000"/>
        </w:rPr>
        <w:t>potamos </w:t>
      </w:r>
      <w:r w:rsidR="00840195">
        <w:t>= rio). Essa região foi ocupada, entre 4.000 a.C. e 539 a.C, por uma série de povos, que se encontraram e se misturaram, empreenderam guerras e dominaram uns aos outros...”</w:t>
      </w:r>
    </w:p>
    <w:p w:rsidR="00840195" w:rsidRPr="001878DE" w:rsidRDefault="00840195" w:rsidP="00840195">
      <w:pPr>
        <w:pStyle w:val="Estilo834"/>
        <w:numPr>
          <w:ilvl w:val="0"/>
          <w:numId w:val="0"/>
        </w:numPr>
        <w:ind w:left="426"/>
        <w:rPr>
          <w:rFonts w:ascii="Raleway" w:hAnsi="Raleway"/>
        </w:rPr>
      </w:pPr>
      <w:r>
        <w:t>"Mesopotâmia: o berço da civilização" em </w:t>
      </w:r>
      <w:r>
        <w:rPr>
          <w:rStyle w:val="nfase"/>
          <w:rFonts w:ascii="Helvetica" w:hAnsi="Helvetica"/>
          <w:color w:val="000000"/>
          <w:sz w:val="20"/>
          <w:szCs w:val="20"/>
        </w:rPr>
        <w:t>Só História</w:t>
      </w:r>
      <w:r>
        <w:t>. Virtuous Tecnologia da Informação, 2009-2020. Consultado em 28/03/2020 às 14:19. Disponível na Internet em </w:t>
      </w:r>
      <w:r>
        <w:rPr>
          <w:rStyle w:val="nfase"/>
          <w:rFonts w:ascii="Helvetica" w:hAnsi="Helvetica"/>
          <w:color w:val="000000"/>
          <w:sz w:val="20"/>
          <w:szCs w:val="20"/>
        </w:rPr>
        <w:t>http://www.sohistoria.com.br/ef2/mesopotamia/</w:t>
      </w:r>
    </w:p>
    <w:p w:rsidR="00095A54" w:rsidRDefault="00095A54" w:rsidP="00840195">
      <w:pPr>
        <w:pStyle w:val="Estilo834"/>
        <w:numPr>
          <w:ilvl w:val="0"/>
          <w:numId w:val="0"/>
        </w:numPr>
        <w:ind w:left="426"/>
      </w:pPr>
    </w:p>
    <w:p w:rsidR="00840195" w:rsidRDefault="00840195" w:rsidP="00840195">
      <w:pPr>
        <w:pStyle w:val="Estilo834"/>
        <w:numPr>
          <w:ilvl w:val="0"/>
          <w:numId w:val="0"/>
        </w:numPr>
        <w:ind w:left="426"/>
      </w:pPr>
      <w:r>
        <w:t xml:space="preserve">Observe a imagem abaixo e responda: </w:t>
      </w:r>
    </w:p>
    <w:p w:rsidR="00840195" w:rsidRDefault="00840195" w:rsidP="00840195">
      <w:pPr>
        <w:pStyle w:val="NormalWeb"/>
        <w:shd w:val="clear" w:color="auto" w:fill="FFFFFF"/>
        <w:ind w:left="720"/>
        <w:jc w:val="center"/>
        <w:rPr>
          <w:rFonts w:ascii="Raleway" w:hAnsi="Raleway"/>
          <w:color w:val="000000"/>
        </w:rPr>
      </w:pPr>
      <w:r>
        <w:rPr>
          <w:noProof/>
        </w:rPr>
        <w:drawing>
          <wp:inline distT="0" distB="0" distL="0" distR="0" wp14:anchorId="2D3B3CC2" wp14:editId="5496B804">
            <wp:extent cx="3886200" cy="2910899"/>
            <wp:effectExtent l="0" t="0" r="0" b="3810"/>
            <wp:docPr id="1" name="Imagem 1" descr="Resultado de imagem para crescente fertil | As primei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escente fertil | As primeir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95" w:rsidRDefault="00840195" w:rsidP="00840195">
      <w:pPr>
        <w:pStyle w:val="Estilo835"/>
      </w:pPr>
    </w:p>
    <w:p w:rsidR="00840195" w:rsidRDefault="00840195" w:rsidP="00840195">
      <w:pPr>
        <w:pStyle w:val="Estilo835"/>
      </w:pPr>
      <w:r>
        <w:t>a) Por que a região destacada é chamada de crescente fértil e quais rios cercam a sua extensão?</w:t>
      </w: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Pr="001878DE" w:rsidRDefault="00840195" w:rsidP="00840195">
      <w:pPr>
        <w:pStyle w:val="Estilo835"/>
        <w:rPr>
          <w:rFonts w:ascii="Raleway" w:hAnsi="Raleway"/>
          <w:color w:val="000000"/>
        </w:rPr>
      </w:pPr>
      <w:r>
        <w:t>b) Qual a importância dos rios para civilizações que se desenvolveram na Mesopotâmia?</w:t>
      </w: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840195" w:rsidRDefault="00840195" w:rsidP="00840195">
      <w:pPr>
        <w:pStyle w:val="Estilo837"/>
      </w:pPr>
    </w:p>
    <w:p w:rsidR="00095A54" w:rsidRDefault="00095A54" w:rsidP="00840195">
      <w:pPr>
        <w:pStyle w:val="Estilo837"/>
      </w:pPr>
    </w:p>
    <w:p w:rsidR="00095A54" w:rsidRDefault="00095A54" w:rsidP="00840195">
      <w:pPr>
        <w:pStyle w:val="Estilo837"/>
      </w:pPr>
    </w:p>
    <w:p w:rsidR="00095A54" w:rsidRDefault="00095A54" w:rsidP="00840195">
      <w:pPr>
        <w:pStyle w:val="Estilo837"/>
      </w:pPr>
    </w:p>
    <w:p w:rsidR="00095A54" w:rsidRDefault="00095A54" w:rsidP="00840195">
      <w:pPr>
        <w:pStyle w:val="Estilo837"/>
      </w:pPr>
    </w:p>
    <w:p w:rsidR="00095A54" w:rsidRDefault="00095A54" w:rsidP="00840195">
      <w:pPr>
        <w:pStyle w:val="Estilo837"/>
      </w:pPr>
    </w:p>
    <w:p w:rsidR="00840195" w:rsidRDefault="00840195" w:rsidP="00840195">
      <w:pPr>
        <w:pStyle w:val="Estilo834"/>
      </w:pPr>
      <w:r>
        <w:t>A região da Mesopotâmia ocupa lugar central na história da humanidade. Na Antiguidade, foi berço da civiliza</w:t>
      </w:r>
      <w:r w:rsidR="00095A54">
        <w:t>ção sumeriana devido ao fato de</w:t>
      </w:r>
    </w:p>
    <w:p w:rsidR="00840195" w:rsidRDefault="00840195" w:rsidP="00840195">
      <w:pPr>
        <w:pStyle w:val="Estilo826"/>
      </w:pPr>
    </w:p>
    <w:p w:rsidR="00840195" w:rsidRDefault="00840195" w:rsidP="00840195">
      <w:pPr>
        <w:pStyle w:val="Estilo826"/>
      </w:pPr>
      <w:r>
        <w:t>a) ser ponto de confluência de rotas comerciais de povos de diversas culturas.</w:t>
      </w:r>
    </w:p>
    <w:p w:rsidR="00840195" w:rsidRDefault="00840195" w:rsidP="00840195">
      <w:pPr>
        <w:pStyle w:val="Estilo826"/>
      </w:pPr>
      <w:r>
        <w:t>b) ter um subsolo rico em minérios, possibilitando o salto tecnológico da idade da pedra para a idade dos metais.</w:t>
      </w:r>
    </w:p>
    <w:p w:rsidR="00840195" w:rsidRDefault="00840195" w:rsidP="00840195">
      <w:pPr>
        <w:pStyle w:val="Estilo826"/>
      </w:pPr>
      <w:r>
        <w:t>c) apresentar um relevo peculiar e favorável ao isolamento necessário para o crescimento socioeconômico.</w:t>
      </w:r>
    </w:p>
    <w:p w:rsidR="00840195" w:rsidRPr="001878DE" w:rsidRDefault="00840195" w:rsidP="00840195">
      <w:pPr>
        <w:pStyle w:val="Estilo826"/>
      </w:pPr>
      <w:r w:rsidRPr="001878DE">
        <w:t>d) possuir uma área agricultável extensa, favorecida pelos rios Tigre e Eufrates.</w:t>
      </w:r>
    </w:p>
    <w:p w:rsidR="00840195" w:rsidRDefault="00840195" w:rsidP="00840195">
      <w:pPr>
        <w:pStyle w:val="Estilo826"/>
      </w:pPr>
      <w:r>
        <w:t>e) abrigar um sistema hidrográfico ideal para a locomoção de pessoas e apropriado para desenvolvimento comercial.</w:t>
      </w:r>
    </w:p>
    <w:p w:rsidR="00095A54" w:rsidRDefault="00095A54" w:rsidP="00840195">
      <w:pPr>
        <w:pStyle w:val="Estilo826"/>
      </w:pPr>
    </w:p>
    <w:p w:rsidR="00840195" w:rsidRDefault="00840195" w:rsidP="00840195">
      <w:pPr>
        <w:pStyle w:val="Estilo834"/>
      </w:pPr>
      <w:r>
        <w:t>A Mesopotâmia foi o berço de muitos povos da antiguidade oriental, como os sumérios, responsáveis pelo desenvolvimento da primeira forma de escrita da humanidade, e os assírios, famosos por terem construído a Grande Biblioteca de Nínive. O termo “Mesopotâmia” foi cunhado pelos greg</w:t>
      </w:r>
      <w:r w:rsidR="00095A54">
        <w:t>os e seu significado faz menção</w:t>
      </w:r>
    </w:p>
    <w:p w:rsidR="00840195" w:rsidRDefault="00840195" w:rsidP="00840195">
      <w:pPr>
        <w:pStyle w:val="Estilo826"/>
      </w:pPr>
    </w:p>
    <w:p w:rsidR="00840195" w:rsidRPr="00E86EF9" w:rsidRDefault="00840195" w:rsidP="00EF306F">
      <w:pPr>
        <w:pStyle w:val="Estilo841"/>
      </w:pPr>
      <w:r w:rsidRPr="00E86EF9">
        <w:t>a) à posição geográfica daquela região entre os rios Tigre e Eufrates;</w:t>
      </w:r>
    </w:p>
    <w:p w:rsidR="00840195" w:rsidRDefault="00840195" w:rsidP="00840195">
      <w:pPr>
        <w:pStyle w:val="Estilo826"/>
      </w:pPr>
      <w:r>
        <w:t>b) a uma lenda existente na região a respeito de um ser mítico;</w:t>
      </w:r>
    </w:p>
    <w:p w:rsidR="00840195" w:rsidRDefault="00840195" w:rsidP="00840195">
      <w:pPr>
        <w:pStyle w:val="Estilo826"/>
      </w:pPr>
      <w:r>
        <w:t>c) à produção de tinta púrpura, que era parte importante do comércio da região;</w:t>
      </w:r>
    </w:p>
    <w:p w:rsidR="00840195" w:rsidRDefault="00840195" w:rsidP="00840195">
      <w:pPr>
        <w:pStyle w:val="Estilo826"/>
      </w:pPr>
      <w:r>
        <w:t>d) à trajetória de um importante rei lendário conhecido a partir do registro da Epopeia de Gilgamesh;</w:t>
      </w:r>
    </w:p>
    <w:p w:rsidR="00840195" w:rsidRDefault="00840195" w:rsidP="00840195">
      <w:pPr>
        <w:pStyle w:val="Estilo826"/>
      </w:pPr>
      <w:r>
        <w:t>e) ao primeiro povo que habitou naquela região antes dos sumérios.</w:t>
      </w:r>
    </w:p>
    <w:p w:rsidR="00840195" w:rsidRDefault="00840195" w:rsidP="00840195">
      <w:pPr>
        <w:pStyle w:val="Estilo826"/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t>GEOGRAFIA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EF306F" w:rsidRPr="00EF306F" w:rsidRDefault="00EF306F" w:rsidP="00EF306F">
      <w:pPr>
        <w:pStyle w:val="Estilo804"/>
        <w:numPr>
          <w:ilvl w:val="0"/>
          <w:numId w:val="49"/>
        </w:numPr>
        <w:ind w:left="426" w:hanging="284"/>
        <w:rPr>
          <w:szCs w:val="18"/>
        </w:rPr>
      </w:pPr>
      <w:r w:rsidRPr="001706E2">
        <w:t>Num modelo esférico, a latitude é medida em graus do arco da circunferência de um meridiano, medido a partir do Equador, tendo o centro do planeta como vértice. Já longitude é a medida em graus do arco da circunferência de um paralelo, medido a partir o meridiano de Greenwich, tendo o centro do planeta como seu vértice.</w:t>
      </w:r>
    </w:p>
    <w:p w:rsidR="00EF306F" w:rsidRPr="001706E2" w:rsidRDefault="00EF306F" w:rsidP="00EF306F">
      <w:pPr>
        <w:pStyle w:val="Estilo841"/>
      </w:pPr>
      <w:r w:rsidRPr="001706E2">
        <w:t> </w:t>
      </w:r>
    </w:p>
    <w:p w:rsidR="00EF306F" w:rsidRPr="001706E2" w:rsidRDefault="00EF306F" w:rsidP="00EF306F">
      <w:pPr>
        <w:pStyle w:val="Estilo841"/>
        <w:jc w:val="center"/>
      </w:pPr>
      <w:r>
        <w:rPr>
          <w:noProof/>
        </w:rPr>
        <w:drawing>
          <wp:inline distT="0" distB="0" distL="0" distR="0" wp14:anchorId="2DDDC5BC" wp14:editId="2FF7950A">
            <wp:extent cx="3019425" cy="3019425"/>
            <wp:effectExtent l="0" t="0" r="9525" b="9525"/>
            <wp:docPr id="3" name="Imagem 3" descr="http://www.geografiaparatodos.com.br/capitulo_2_a_localizacao_no_espaco_e_os_sistemas_de_informacoes_geograficas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2_a_localizacao_no_espaco_e_os_sistemas_de_informacoes_geograficas_files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6F" w:rsidRDefault="00EF306F" w:rsidP="00EF306F">
      <w:pPr>
        <w:shd w:val="clear" w:color="auto" w:fill="FFFFFF"/>
        <w:ind w:right="141"/>
        <w:jc w:val="center"/>
        <w:rPr>
          <w:rFonts w:ascii="Arial" w:hAnsi="Arial" w:cs="Arial"/>
          <w:color w:val="000000"/>
          <w:sz w:val="14"/>
          <w:szCs w:val="14"/>
        </w:rPr>
      </w:pPr>
      <w:r w:rsidRPr="00EF306F">
        <w:rPr>
          <w:rFonts w:ascii="Arial" w:hAnsi="Arial" w:cs="Arial"/>
          <w:color w:val="000000"/>
          <w:sz w:val="14"/>
          <w:szCs w:val="14"/>
        </w:rPr>
        <w:t>Disponível em: http://www.atlasdemurcia.com. Acesso em: 27/11/2013</w:t>
      </w:r>
    </w:p>
    <w:p w:rsidR="00574A0B" w:rsidRPr="00EF306F" w:rsidRDefault="00574A0B" w:rsidP="00EF306F">
      <w:pPr>
        <w:shd w:val="clear" w:color="auto" w:fill="FFFFFF"/>
        <w:ind w:right="141"/>
        <w:jc w:val="center"/>
        <w:rPr>
          <w:rFonts w:ascii="Arial" w:hAnsi="Arial" w:cs="Arial"/>
          <w:color w:val="000000"/>
          <w:sz w:val="14"/>
          <w:szCs w:val="14"/>
        </w:rPr>
      </w:pPr>
    </w:p>
    <w:p w:rsidR="00EF306F" w:rsidRDefault="00EF306F" w:rsidP="00EF306F">
      <w:pPr>
        <w:pStyle w:val="Estilo839"/>
        <w:numPr>
          <w:ilvl w:val="0"/>
          <w:numId w:val="0"/>
        </w:numPr>
        <w:ind w:left="426"/>
      </w:pPr>
      <w:r w:rsidRPr="001706E2">
        <w:t>Sabendo que a determinação das coordenadas geográficas se baseia no princípio da medida da circunferência, podemos concluir que</w:t>
      </w:r>
    </w:p>
    <w:p w:rsidR="00EF306F" w:rsidRPr="001706E2" w:rsidRDefault="00EF306F" w:rsidP="00EF306F">
      <w:pPr>
        <w:pStyle w:val="Estilo839"/>
        <w:numPr>
          <w:ilvl w:val="0"/>
          <w:numId w:val="0"/>
        </w:numPr>
        <w:ind w:left="426"/>
        <w:rPr>
          <w:szCs w:val="18"/>
        </w:rPr>
      </w:pPr>
    </w:p>
    <w:p w:rsidR="00EF306F" w:rsidRPr="00EF306F" w:rsidRDefault="00EF306F" w:rsidP="00EF306F">
      <w:pPr>
        <w:pStyle w:val="Estilo841"/>
      </w:pPr>
      <w:r w:rsidRPr="00EF306F">
        <w:t>a) a longitude pode ir de 0°no Equador a 180°nos polos norte e sul.</w:t>
      </w:r>
    </w:p>
    <w:p w:rsidR="00EF306F" w:rsidRPr="00EF306F" w:rsidRDefault="00EF306F" w:rsidP="00EF306F">
      <w:pPr>
        <w:pStyle w:val="Estilo841"/>
      </w:pPr>
      <w:r w:rsidRPr="00EF306F">
        <w:t>b) a latitude pode ir de 0° em Greenwich a 90° a leste e a oeste.</w:t>
      </w:r>
    </w:p>
    <w:p w:rsidR="00EF306F" w:rsidRPr="00EF306F" w:rsidRDefault="00EF306F" w:rsidP="00EF306F">
      <w:pPr>
        <w:pStyle w:val="Estilo841"/>
      </w:pPr>
      <w:r w:rsidRPr="00EF306F">
        <w:t>c) a longitude pode ir de 0° no Equador a 180° a leste e a oeste.</w:t>
      </w:r>
    </w:p>
    <w:p w:rsidR="00EF306F" w:rsidRPr="00EF306F" w:rsidRDefault="00EF306F" w:rsidP="00EF306F">
      <w:pPr>
        <w:pStyle w:val="Estilo841"/>
      </w:pPr>
      <w:r w:rsidRPr="00EF306F">
        <w:rPr>
          <w:bCs/>
        </w:rPr>
        <w:t>d</w:t>
      </w:r>
      <w:r w:rsidRPr="00EF306F">
        <w:t>) a latitude pode ir de 0° no Equador a 90° nos pólos norte e sul.</w:t>
      </w:r>
    </w:p>
    <w:p w:rsidR="00EF306F" w:rsidRPr="001706E2" w:rsidRDefault="00EF306F" w:rsidP="00EF306F">
      <w:pPr>
        <w:pStyle w:val="Estilo841"/>
      </w:pPr>
      <w:r w:rsidRPr="00EF306F">
        <w:t>e) a latitude pode ir de 0°em Greenwich a 180°nos polos norte e sul.</w:t>
      </w:r>
    </w:p>
    <w:p w:rsidR="00EF306F" w:rsidRDefault="00EF306F" w:rsidP="00EF306F">
      <w:pPr>
        <w:pStyle w:val="Estilo841"/>
      </w:pPr>
    </w:p>
    <w:p w:rsidR="00EF306F" w:rsidRPr="00F2340D" w:rsidRDefault="00EF306F" w:rsidP="00EF306F">
      <w:pPr>
        <w:pStyle w:val="Estilo839"/>
      </w:pPr>
      <w:r w:rsidRPr="00F2340D">
        <w:t>Depois de quatro anos em queda, o desmatamento na Amazônia voltou a subir. Números preliminares do Prodes (Projeto de Monitoramento da Floresta Amazônica por Satélites) e do INPE (Instituto Nacional de Pesquisas Espacias) apontam alta de 28% no corte de árvores entre agosto de 2012 e julho de 2013, em relação ao período anterior.</w:t>
      </w:r>
    </w:p>
    <w:p w:rsidR="00EF306F" w:rsidRPr="00EF306F" w:rsidRDefault="00EF306F" w:rsidP="00EF306F">
      <w:pPr>
        <w:ind w:right="141"/>
        <w:jc w:val="right"/>
        <w:rPr>
          <w:rFonts w:ascii="Arial" w:hAnsi="Arial" w:cs="Arial"/>
          <w:sz w:val="14"/>
          <w:szCs w:val="18"/>
        </w:rPr>
      </w:pPr>
      <w:r w:rsidRPr="00EF306F">
        <w:rPr>
          <w:rFonts w:ascii="Arial" w:hAnsi="Arial" w:cs="Arial"/>
          <w:i/>
          <w:sz w:val="14"/>
          <w:szCs w:val="18"/>
        </w:rPr>
        <w:t>Folha de S. Paulo</w:t>
      </w:r>
      <w:r w:rsidRPr="00EF306F">
        <w:rPr>
          <w:rFonts w:ascii="Arial" w:hAnsi="Arial" w:cs="Arial"/>
          <w:sz w:val="14"/>
          <w:szCs w:val="18"/>
        </w:rPr>
        <w:t>, 14 nov. 2013.</w:t>
      </w:r>
    </w:p>
    <w:p w:rsidR="00EF306F" w:rsidRDefault="00EF306F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jc w:val="both"/>
        <w:rPr>
          <w:rFonts w:ascii="Arial" w:hAnsi="Arial" w:cs="Arial"/>
          <w:sz w:val="18"/>
          <w:szCs w:val="18"/>
        </w:rPr>
      </w:pPr>
    </w:p>
    <w:p w:rsidR="00095A54" w:rsidRDefault="00095A54" w:rsidP="00EF306F">
      <w:pPr>
        <w:pStyle w:val="Estilo839"/>
        <w:numPr>
          <w:ilvl w:val="0"/>
          <w:numId w:val="0"/>
        </w:numPr>
        <w:ind w:left="426"/>
      </w:pPr>
    </w:p>
    <w:p w:rsidR="00EF306F" w:rsidRDefault="00EF306F" w:rsidP="00EF306F">
      <w:pPr>
        <w:pStyle w:val="Estilo839"/>
        <w:numPr>
          <w:ilvl w:val="0"/>
          <w:numId w:val="0"/>
        </w:numPr>
        <w:ind w:left="426"/>
      </w:pPr>
      <w:r w:rsidRPr="00EF306F">
        <w:t>A área desmatada foi identificada em um mapa sob forma retangular, cujas dimensões eram de 5 cm × 12 cm e com uma escala de 1 : 1 000 000. Assim,  o registro da área desmatada é de</w:t>
      </w:r>
    </w:p>
    <w:p w:rsidR="00EF306F" w:rsidRPr="00EF306F" w:rsidRDefault="00EF306F" w:rsidP="00EF306F">
      <w:pPr>
        <w:pStyle w:val="Estilo839"/>
        <w:numPr>
          <w:ilvl w:val="0"/>
          <w:numId w:val="0"/>
        </w:numPr>
        <w:ind w:left="426"/>
      </w:pPr>
    </w:p>
    <w:p w:rsidR="00EF306F" w:rsidRPr="00EF306F" w:rsidRDefault="00EF306F" w:rsidP="00EF306F">
      <w:pPr>
        <w:pStyle w:val="Estilo841"/>
      </w:pPr>
      <w:r w:rsidRPr="00EF306F">
        <w:t xml:space="preserve">a) </w:t>
      </w:r>
      <w:r w:rsidR="00095A54" w:rsidRPr="00EF306F">
        <w:t>240 km</w:t>
      </w:r>
      <w:r w:rsidR="00095A54" w:rsidRPr="00EF306F">
        <w:rPr>
          <w:vertAlign w:val="superscript"/>
        </w:rPr>
        <w:t>2</w:t>
      </w:r>
      <w:r w:rsidR="00095A54" w:rsidRPr="00EF306F">
        <w:t>.</w:t>
      </w:r>
    </w:p>
    <w:p w:rsidR="00EF306F" w:rsidRPr="00EF306F" w:rsidRDefault="00EF306F" w:rsidP="00EF306F">
      <w:pPr>
        <w:pStyle w:val="Estilo841"/>
      </w:pPr>
      <w:r w:rsidRPr="00EF306F">
        <w:t xml:space="preserve">b) </w:t>
      </w:r>
      <w:r w:rsidR="00095A54" w:rsidRPr="00EF306F">
        <w:t>600 km</w:t>
      </w:r>
      <w:r w:rsidR="00095A54" w:rsidRPr="00EF306F">
        <w:rPr>
          <w:vertAlign w:val="superscript"/>
        </w:rPr>
        <w:t>2</w:t>
      </w:r>
      <w:r w:rsidR="00095A54" w:rsidRPr="00EF306F">
        <w:t>.</w:t>
      </w:r>
    </w:p>
    <w:p w:rsidR="00EF306F" w:rsidRPr="00EF306F" w:rsidRDefault="00EF306F" w:rsidP="00EF306F">
      <w:pPr>
        <w:pStyle w:val="Estilo841"/>
      </w:pPr>
      <w:r w:rsidRPr="00EF306F">
        <w:t>c) 2 400 km</w:t>
      </w:r>
      <w:r w:rsidRPr="00EF306F">
        <w:rPr>
          <w:vertAlign w:val="superscript"/>
        </w:rPr>
        <w:t>2</w:t>
      </w:r>
      <w:r w:rsidRPr="00EF306F">
        <w:t>.</w:t>
      </w:r>
    </w:p>
    <w:p w:rsidR="00EF306F" w:rsidRPr="00EF306F" w:rsidRDefault="00EF306F" w:rsidP="00EF306F">
      <w:pPr>
        <w:pStyle w:val="Estilo841"/>
      </w:pPr>
      <w:r w:rsidRPr="00EF306F">
        <w:t>d) 3 000 km</w:t>
      </w:r>
      <w:r w:rsidRPr="00EF306F">
        <w:rPr>
          <w:vertAlign w:val="superscript"/>
        </w:rPr>
        <w:t>2</w:t>
      </w:r>
      <w:r w:rsidRPr="00EF306F">
        <w:t>.</w:t>
      </w:r>
    </w:p>
    <w:p w:rsidR="00EF306F" w:rsidRPr="00EF306F" w:rsidRDefault="00EF306F" w:rsidP="00EF306F">
      <w:pPr>
        <w:pStyle w:val="Estilo841"/>
      </w:pPr>
      <w:r w:rsidRPr="00EF306F">
        <w:t>e) 6 000 km</w:t>
      </w:r>
      <w:r w:rsidRPr="00EF306F">
        <w:rPr>
          <w:vertAlign w:val="superscript"/>
        </w:rPr>
        <w:t>2</w:t>
      </w:r>
      <w:r w:rsidRPr="00EF306F">
        <w:t>.</w:t>
      </w:r>
    </w:p>
    <w:p w:rsidR="00EF306F" w:rsidRDefault="00EF306F" w:rsidP="00EF306F">
      <w:pPr>
        <w:rPr>
          <w:rFonts w:ascii="Arial" w:hAnsi="Arial" w:cs="Arial"/>
          <w:b/>
          <w:bCs/>
          <w:color w:val="151B22"/>
          <w:sz w:val="18"/>
          <w:szCs w:val="18"/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39"/>
        <w:rPr>
          <w:bdr w:val="none" w:sz="0" w:space="0" w:color="auto" w:frame="1"/>
          <w:shd w:val="clear" w:color="auto" w:fill="FFFFFF"/>
        </w:rPr>
      </w:pPr>
      <w:r w:rsidRPr="00EF306F">
        <w:rPr>
          <w:bdr w:val="none" w:sz="0" w:space="0" w:color="auto" w:frame="1"/>
          <w:shd w:val="clear" w:color="auto" w:fill="FFFFFF"/>
        </w:rPr>
        <w:t>O sistema de projeção do mapa a seguir foi criado por Mercator em 1569 com o objetivo de facilitar as navegações marítimas.</w:t>
      </w:r>
    </w:p>
    <w:p w:rsidR="00EF306F" w:rsidRDefault="00EF306F" w:rsidP="00EF306F">
      <w:pPr>
        <w:jc w:val="center"/>
        <w:rPr>
          <w:rFonts w:ascii="Arial" w:hAnsi="Arial" w:cs="Arial"/>
          <w:bCs/>
          <w:color w:val="151B22"/>
          <w:sz w:val="18"/>
          <w:szCs w:val="18"/>
          <w:bdr w:val="none" w:sz="0" w:space="0" w:color="auto" w:frame="1"/>
          <w:shd w:val="clear" w:color="auto" w:fill="FFFFFF"/>
        </w:rPr>
      </w:pPr>
      <w:r w:rsidRPr="00C3461A">
        <w:rPr>
          <w:rFonts w:ascii="Arial" w:hAnsi="Arial" w:cs="Arial"/>
          <w:bCs/>
          <w:noProof/>
          <w:color w:val="151B22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75C957AC" wp14:editId="48354EA8">
            <wp:extent cx="4533900" cy="3196027"/>
            <wp:effectExtent l="0" t="0" r="0" b="4445"/>
            <wp:docPr id="4" name="Imagem 4" descr="https://1.bp.blogspot.com/_YtABFdf-hbo/Sqa6IuTeTfI/AAAAAAAAAkA/Z7wvPhGtDpY/s320/QUEST%C3%83O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9191463972064754" descr="https://1.bp.blogspot.com/_YtABFdf-hbo/Sqa6IuTeTfI/AAAAAAAAAkA/Z7wvPhGtDpY/s320/QUEST%C3%83O+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64" cy="31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6F" w:rsidRPr="00EF306F" w:rsidRDefault="00EF306F" w:rsidP="00EF306F">
      <w:pPr>
        <w:jc w:val="center"/>
        <w:rPr>
          <w:rFonts w:ascii="Arial" w:hAnsi="Arial" w:cs="Arial"/>
          <w:bCs/>
          <w:color w:val="151B22"/>
          <w:sz w:val="14"/>
          <w:szCs w:val="16"/>
          <w:bdr w:val="none" w:sz="0" w:space="0" w:color="auto" w:frame="1"/>
          <w:shd w:val="clear" w:color="auto" w:fill="FFFFFF"/>
        </w:rPr>
      </w:pPr>
      <w:r w:rsidRPr="00EF306F">
        <w:rPr>
          <w:rFonts w:ascii="Arial" w:hAnsi="Arial" w:cs="Arial"/>
          <w:bCs/>
          <w:color w:val="151B22"/>
          <w:sz w:val="14"/>
          <w:szCs w:val="16"/>
          <w:bdr w:val="none" w:sz="0" w:space="0" w:color="auto" w:frame="1"/>
          <w:shd w:val="clear" w:color="auto" w:fill="FFFFFF"/>
        </w:rPr>
        <w:t>Adaptado de Igor Moreira, "O Espaço Geográfico: Geografia Geral e do Brasil", São Paulo: Editora Ática, 2002, p. 446.</w:t>
      </w:r>
    </w:p>
    <w:p w:rsidR="00EF306F" w:rsidRDefault="00EF306F" w:rsidP="00EF306F">
      <w:pPr>
        <w:jc w:val="center"/>
        <w:rPr>
          <w:rFonts w:ascii="Arial" w:hAnsi="Arial" w:cs="Arial"/>
          <w:bCs/>
          <w:color w:val="151B22"/>
          <w:sz w:val="16"/>
          <w:szCs w:val="16"/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39"/>
        <w:numPr>
          <w:ilvl w:val="0"/>
          <w:numId w:val="0"/>
        </w:numPr>
        <w:ind w:left="426"/>
        <w:rPr>
          <w:bdr w:val="none" w:sz="0" w:space="0" w:color="auto" w:frame="1"/>
          <w:shd w:val="clear" w:color="auto" w:fill="FFFFFF"/>
        </w:rPr>
      </w:pPr>
      <w:r w:rsidRPr="00C3461A">
        <w:rPr>
          <w:bdr w:val="none" w:sz="0" w:space="0" w:color="auto" w:frame="1"/>
          <w:shd w:val="clear" w:color="auto" w:fill="FFFFFF"/>
        </w:rPr>
        <w:t>OBSERVE O MAPA E FAÇA O QUE SE PEDE:</w:t>
      </w:r>
    </w:p>
    <w:p w:rsidR="00EF306F" w:rsidRDefault="00EF306F" w:rsidP="00EF306F">
      <w:pPr>
        <w:pStyle w:val="Estilo835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35"/>
        <w:ind w:left="426" w:hanging="284"/>
        <w:rPr>
          <w:bdr w:val="none" w:sz="0" w:space="0" w:color="auto" w:frame="1"/>
          <w:shd w:val="clear" w:color="auto" w:fill="FFFFFF"/>
        </w:rPr>
      </w:pPr>
      <w:r w:rsidRPr="00C3461A">
        <w:rPr>
          <w:bdr w:val="none" w:sz="0" w:space="0" w:color="auto" w:frame="1"/>
          <w:shd w:val="clear" w:color="auto" w:fill="FFFFFF"/>
        </w:rPr>
        <w:t xml:space="preserve">a) </w:t>
      </w:r>
      <w:r>
        <w:rPr>
          <w:bdr w:val="none" w:sz="0" w:space="0" w:color="auto" w:frame="1"/>
          <w:shd w:val="clear" w:color="auto" w:fill="FFFFFF"/>
        </w:rPr>
        <w:tab/>
      </w:r>
      <w:r w:rsidRPr="00C3461A">
        <w:rPr>
          <w:bdr w:val="none" w:sz="0" w:space="0" w:color="auto" w:frame="1"/>
          <w:shd w:val="clear" w:color="auto" w:fill="FFFFFF"/>
        </w:rPr>
        <w:t>Segundo a projeção de Mercator, em quais porções da Terra representadas no mapa não ocorre distorção e onde a distorção é mais acentuada?</w:t>
      </w: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EF306F" w:rsidRDefault="00EF306F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454578" w:rsidRDefault="00454578" w:rsidP="00EF306F">
      <w:pPr>
        <w:pStyle w:val="Estilo840"/>
        <w:rPr>
          <w:bdr w:val="none" w:sz="0" w:space="0" w:color="auto" w:frame="1"/>
          <w:shd w:val="clear" w:color="auto" w:fill="FFFFFF"/>
        </w:rPr>
      </w:pPr>
    </w:p>
    <w:p w:rsidR="009D4D1C" w:rsidRDefault="009D4D1C" w:rsidP="009D4D1C">
      <w:pPr>
        <w:pStyle w:val="Estilo828"/>
      </w:pPr>
    </w:p>
    <w:p w:rsidR="00574A0B" w:rsidRDefault="00574A0B" w:rsidP="00574A0B">
      <w:pPr>
        <w:pStyle w:val="Estilo841"/>
      </w:pPr>
    </w:p>
    <w:p w:rsidR="00574A0B" w:rsidRDefault="00574A0B" w:rsidP="00574A0B">
      <w:pPr>
        <w:pStyle w:val="Estilo841"/>
      </w:pPr>
    </w:p>
    <w:p w:rsidR="00574A0B" w:rsidRDefault="00574A0B" w:rsidP="00574A0B">
      <w:pPr>
        <w:pStyle w:val="Estilo841"/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lastRenderedPageBreak/>
        <w:t>FILOSOFIA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2E4EAE" w:rsidRPr="002E4EAE" w:rsidRDefault="002E4EAE" w:rsidP="00574A0B">
      <w:pPr>
        <w:pStyle w:val="Estilo804"/>
        <w:numPr>
          <w:ilvl w:val="0"/>
          <w:numId w:val="51"/>
        </w:numPr>
        <w:ind w:left="426" w:hanging="284"/>
      </w:pPr>
      <w:r w:rsidRPr="002E4EAE">
        <w:t>O historiador da filosofia Jean Pierre Vernant, nega a teoria do milagre grego, ou seja, o</w:t>
      </w:r>
      <w:r>
        <w:t xml:space="preserve"> </w:t>
      </w:r>
      <w:r w:rsidRPr="002E4EAE">
        <w:t>mesmo afirma que a filosofia nasceu de um processo histórico.</w:t>
      </w:r>
    </w:p>
    <w:p w:rsidR="002E4EAE" w:rsidRPr="002E4EAE" w:rsidRDefault="002E4EAE" w:rsidP="002E4EAE">
      <w:pPr>
        <w:pStyle w:val="Estilo834"/>
        <w:numPr>
          <w:ilvl w:val="0"/>
          <w:numId w:val="0"/>
        </w:numPr>
        <w:ind w:left="426"/>
      </w:pPr>
      <w:r w:rsidRPr="002E4EAE">
        <w:t>Dessa forma</w:t>
      </w:r>
      <w:r w:rsidR="00454578">
        <w:t>,</w:t>
      </w:r>
      <w:r w:rsidRPr="002E4EAE">
        <w:t xml:space="preserve"> elabore um texto explicando segundo Vernant como se deu e quais invenções</w:t>
      </w:r>
      <w:r>
        <w:t xml:space="preserve"> </w:t>
      </w:r>
      <w:r w:rsidRPr="002E4EAE">
        <w:t>e/ou criações influenciaram para nascer a filosofia.</w:t>
      </w: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2E4EAE" w:rsidRDefault="002E4EAE" w:rsidP="002E4EAE">
      <w:pPr>
        <w:pStyle w:val="Estilo837"/>
      </w:pPr>
    </w:p>
    <w:p w:rsidR="002E4EAE" w:rsidRPr="002E4EAE" w:rsidRDefault="002E4EAE" w:rsidP="00EF306F">
      <w:pPr>
        <w:pStyle w:val="Estilo839"/>
      </w:pPr>
      <w:r w:rsidRPr="002E4EAE">
        <w:t>Em nossas aulas vimos que o mito migra e fo</w:t>
      </w:r>
      <w:r w:rsidR="00454578">
        <w:t>i para todas as partes do mundo.</w:t>
      </w:r>
      <w:r w:rsidRPr="002E4EAE">
        <w:t xml:space="preserve"> </w:t>
      </w:r>
      <w:r w:rsidR="00454578">
        <w:t>Desta forma, explique c</w:t>
      </w:r>
      <w:r w:rsidRPr="002E4EAE">
        <w:t>omo o mito/lenda, estão presentes nos dias atuais.</w:t>
      </w:r>
    </w:p>
    <w:p w:rsidR="009D4D1C" w:rsidRDefault="009D4D1C" w:rsidP="002E4EAE">
      <w:pPr>
        <w:pStyle w:val="Estilo837"/>
      </w:pPr>
    </w:p>
    <w:p w:rsidR="002E4EAE" w:rsidRDefault="002E4EAE" w:rsidP="00EF306F">
      <w:pPr>
        <w:pStyle w:val="Estilo840"/>
      </w:pP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2E4EAE" w:rsidRDefault="002E4EAE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454578" w:rsidRDefault="00454578" w:rsidP="002E4EAE">
      <w:pPr>
        <w:pStyle w:val="Estilo837"/>
      </w:pPr>
    </w:p>
    <w:p w:rsidR="00EF306F" w:rsidRDefault="00EF306F" w:rsidP="009D4D1C">
      <w:pPr>
        <w:pStyle w:val="Estilo828"/>
      </w:pPr>
    </w:p>
    <w:p w:rsidR="00454578" w:rsidRDefault="00454578" w:rsidP="009D4D1C">
      <w:pPr>
        <w:pStyle w:val="Estilo814"/>
        <w:pBdr>
          <w:bottom w:val="single" w:sz="4" w:space="1" w:color="auto"/>
        </w:pBdr>
      </w:pPr>
    </w:p>
    <w:p w:rsidR="005654A7" w:rsidRDefault="005654A7" w:rsidP="009D4D1C">
      <w:pPr>
        <w:pStyle w:val="Estilo814"/>
        <w:pBdr>
          <w:bottom w:val="single" w:sz="4" w:space="1" w:color="auto"/>
        </w:pBdr>
      </w:pPr>
    </w:p>
    <w:p w:rsidR="005654A7" w:rsidRDefault="005654A7" w:rsidP="009D4D1C">
      <w:pPr>
        <w:pStyle w:val="Estilo814"/>
        <w:pBdr>
          <w:bottom w:val="single" w:sz="4" w:space="1" w:color="auto"/>
        </w:pBdr>
      </w:pPr>
    </w:p>
    <w:p w:rsidR="00454578" w:rsidRDefault="00454578" w:rsidP="009D4D1C">
      <w:pPr>
        <w:pStyle w:val="Estilo814"/>
        <w:pBdr>
          <w:bottom w:val="single" w:sz="4" w:space="1" w:color="auto"/>
        </w:pBdr>
      </w:pPr>
    </w:p>
    <w:p w:rsidR="00454578" w:rsidRPr="005654A7" w:rsidRDefault="00454578" w:rsidP="009D4D1C">
      <w:pPr>
        <w:pStyle w:val="Estilo814"/>
        <w:pBdr>
          <w:bottom w:val="single" w:sz="4" w:space="1" w:color="auto"/>
        </w:pBdr>
        <w:rPr>
          <w:sz w:val="16"/>
        </w:rPr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lastRenderedPageBreak/>
        <w:t>SOCIOLOGIA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AD465E" w:rsidRDefault="00AD465E" w:rsidP="00476FC5">
      <w:pPr>
        <w:pStyle w:val="Estilo804"/>
        <w:numPr>
          <w:ilvl w:val="0"/>
          <w:numId w:val="50"/>
        </w:numPr>
        <w:ind w:left="426" w:hanging="284"/>
      </w:pPr>
      <w:r>
        <w:t xml:space="preserve">(Uel - </w:t>
      </w:r>
      <w:r w:rsidRPr="00DA51A9">
        <w:t>2007)  “Socialização significa o processo pelo qual um indivíduo se torna um membro ativo da sociedade em que nasceu, isto é, comporta-se de acordo com seus folkways e mores</w:t>
      </w:r>
      <w:r>
        <w:t xml:space="preserve"> (normas e leis)</w:t>
      </w:r>
      <w:r w:rsidRPr="00DA51A9">
        <w:t xml:space="preserve"> [...]. Há pouca dúvida de que a sociedade, por suas exigências sobre os indivíduos determina, em grande parte, o tipo de personalidade que predominará. Naturalmente, numa sociedade complexa como a nossa, com extrema heterogeneidade de padrões, haverá consideráveis variações. Seria, portanto, exagerado dizer que a cultura produz uma personalidade totalmente estereotipada. A sociedade proporciona, antes, os limites dentro dos quais a personalidade se desenvolverá”. </w:t>
      </w:r>
    </w:p>
    <w:p w:rsidR="00AD465E" w:rsidRPr="00476FC5" w:rsidRDefault="00AD465E" w:rsidP="00AD465E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szCs w:val="18"/>
        </w:rPr>
      </w:pPr>
      <w:r w:rsidRPr="00476FC5">
        <w:rPr>
          <w:rFonts w:ascii="Arial" w:hAnsi="Arial" w:cs="Arial"/>
          <w:sz w:val="14"/>
          <w:szCs w:val="18"/>
        </w:rPr>
        <w:t xml:space="preserve">                 Fonte: KOENIG, S. Elementos de Sociologia. Tradução de Vera Borda, Rio de Janeiro, Zahar Editores, 1967, p. 70-75. </w:t>
      </w:r>
    </w:p>
    <w:p w:rsidR="00476FC5" w:rsidRDefault="00476FC5" w:rsidP="00476FC5">
      <w:pPr>
        <w:pStyle w:val="Estilo835"/>
      </w:pPr>
    </w:p>
    <w:p w:rsidR="00AD465E" w:rsidRDefault="00AD465E" w:rsidP="00476FC5">
      <w:pPr>
        <w:pStyle w:val="Estilo835"/>
      </w:pPr>
      <w:r w:rsidRPr="00DA51A9">
        <w:t>Com base no texto e nos conhecimentos s</w:t>
      </w:r>
      <w:r>
        <w:t>obre o tema, entende-se que</w:t>
      </w:r>
    </w:p>
    <w:p w:rsidR="00476FC5" w:rsidRDefault="00476FC5" w:rsidP="00476FC5">
      <w:pPr>
        <w:pStyle w:val="Estilo841"/>
      </w:pPr>
    </w:p>
    <w:p w:rsidR="00AD465E" w:rsidRPr="007D5932" w:rsidRDefault="00476FC5" w:rsidP="00476FC5">
      <w:pPr>
        <w:pStyle w:val="Estilo841"/>
      </w:pPr>
      <w:r w:rsidRPr="007D5932">
        <w:t>a</w:t>
      </w:r>
      <w:r w:rsidR="00AD465E" w:rsidRPr="007D5932">
        <w:t xml:space="preserve">) </w:t>
      </w:r>
      <w:r>
        <w:tab/>
      </w:r>
      <w:r w:rsidR="00AD465E" w:rsidRPr="007D5932">
        <w:t xml:space="preserve">existe uma interação entre a cultura e a personalidade, o que faz com que as individualidades sejam influenciadas de diferentes modos e graus pelo ambiente social.    </w:t>
      </w:r>
    </w:p>
    <w:p w:rsidR="00AD465E" w:rsidRDefault="00476FC5" w:rsidP="00476FC5">
      <w:pPr>
        <w:pStyle w:val="Estilo841"/>
      </w:pPr>
      <w:r>
        <w:t>b</w:t>
      </w:r>
      <w:r w:rsidR="00AD465E">
        <w:t xml:space="preserve">) </w:t>
      </w:r>
      <w:r>
        <w:tab/>
      </w:r>
      <w:r w:rsidR="00AD465E">
        <w:t>a</w:t>
      </w:r>
      <w:r w:rsidR="00AD465E" w:rsidRPr="00DA51A9">
        <w:t xml:space="preserve">pesar de os indivíduos se diferenciarem desde o nascimento por dotes físicos e mentais, desenvolvem personalidades praticamente idênticas por conta da influência da sociedade em que vivem.    </w:t>
      </w:r>
    </w:p>
    <w:p w:rsidR="00AD465E" w:rsidRDefault="00476FC5" w:rsidP="00476FC5">
      <w:pPr>
        <w:pStyle w:val="Estilo841"/>
      </w:pPr>
      <w:r>
        <w:t>c</w:t>
      </w:r>
      <w:r w:rsidR="00AD465E">
        <w:t xml:space="preserve">) </w:t>
      </w:r>
      <w:r>
        <w:tab/>
      </w:r>
      <w:r w:rsidR="00AD465E">
        <w:t>a</w:t>
      </w:r>
      <w:r w:rsidR="00AD465E" w:rsidRPr="00DA51A9">
        <w:t xml:space="preserve"> sociedade impõe, por suas exigências, aprovações e desaprovações, o tipo de personalidade que o indivíduo terá.    </w:t>
      </w:r>
    </w:p>
    <w:p w:rsidR="00AD465E" w:rsidRDefault="00476FC5" w:rsidP="00476FC5">
      <w:pPr>
        <w:pStyle w:val="Estilo841"/>
      </w:pPr>
      <w:r>
        <w:t>d</w:t>
      </w:r>
      <w:r w:rsidR="00AD465E">
        <w:t xml:space="preserve">) </w:t>
      </w:r>
      <w:r>
        <w:tab/>
      </w:r>
      <w:r w:rsidR="00AD465E">
        <w:t>o</w:t>
      </w:r>
      <w:r w:rsidR="00AD465E" w:rsidRPr="00DA51A9">
        <w:t xml:space="preserve"> indivíduo já nasce com uma personalidade que dificilmente mudará por influência da sociedade ou do meio ambiente.    </w:t>
      </w:r>
    </w:p>
    <w:p w:rsidR="00AD465E" w:rsidRDefault="00476FC5" w:rsidP="00476FC5">
      <w:pPr>
        <w:pStyle w:val="Estilo841"/>
      </w:pPr>
      <w:r>
        <w:t>e</w:t>
      </w:r>
      <w:r w:rsidR="00AD465E">
        <w:t xml:space="preserve">) </w:t>
      </w:r>
      <w:r>
        <w:tab/>
      </w:r>
      <w:r w:rsidR="00AD465E">
        <w:t>s</w:t>
      </w:r>
      <w:r w:rsidR="00AD465E" w:rsidRPr="00DA51A9">
        <w:t xml:space="preserve">ão as tendências hereditárias e não a sociedade que determinam a personalidade do indivíduo. </w:t>
      </w:r>
    </w:p>
    <w:p w:rsidR="00AD465E" w:rsidRDefault="00AD465E" w:rsidP="00476FC5">
      <w:pPr>
        <w:pStyle w:val="Estilo841"/>
      </w:pPr>
    </w:p>
    <w:p w:rsidR="00AD465E" w:rsidRPr="009F785B" w:rsidRDefault="00AD465E" w:rsidP="00476FC5">
      <w:pPr>
        <w:pStyle w:val="Estilo839"/>
      </w:pPr>
      <w:r w:rsidRPr="009F785B">
        <w:t>Émile Durkheim, analisando a organização da sociedade e o papel dos indivíduos em relação à crim</w:t>
      </w:r>
      <w:r>
        <w:t>inalidade e ao direito, dizia:</w:t>
      </w:r>
      <w:r w:rsidRPr="009F785B">
        <w:t xml:space="preserve"> “(...) supondo que a pena possa realmente servir para proteger-nos no futuro, estimamos que deva ser, antes de tudo, uma expiação do passado. O que o prova são as precauções minuciosas que tomamos para proporcioná-la tão exatamente quanto possível à gravidade do crime; elas seriam inexplicáveis se acreditássemos que o culpado deve sofrer porque fez o </w:t>
      </w:r>
      <w:r>
        <w:t>mal e na mesma medida (...)</w:t>
      </w:r>
      <w:r w:rsidRPr="009F785B">
        <w:t xml:space="preserve"> Podemos dizer, pois, que a pena consiste em uma reação passional de intensidade graduada. Mas de onde emana esta reação? Do indivíduo ou da sociedade?” </w:t>
      </w:r>
    </w:p>
    <w:p w:rsidR="00AD465E" w:rsidRPr="00476FC5" w:rsidRDefault="00AD465E" w:rsidP="00AD465E">
      <w:pPr>
        <w:jc w:val="right"/>
        <w:rPr>
          <w:rFonts w:ascii="Arial" w:hAnsi="Arial" w:cs="Arial"/>
          <w:sz w:val="14"/>
          <w:szCs w:val="28"/>
        </w:rPr>
      </w:pPr>
      <w:r w:rsidRPr="00476FC5">
        <w:rPr>
          <w:rFonts w:ascii="Arial" w:hAnsi="Arial" w:cs="Arial"/>
          <w:sz w:val="14"/>
          <w:szCs w:val="28"/>
        </w:rPr>
        <w:t xml:space="preserve">           Fonte: DURKHEIM, É. “Da divisão social do trabalho”. In: Os pensadores. Tradução de Carlos A. B. de Moura et al. São Paulo: Abril Cultural, 1978, p.45-46. </w:t>
      </w:r>
    </w:p>
    <w:p w:rsidR="00AD465E" w:rsidRPr="009F785B" w:rsidRDefault="00AD465E" w:rsidP="00574A0B">
      <w:pPr>
        <w:pStyle w:val="Estilo841"/>
      </w:pPr>
    </w:p>
    <w:p w:rsidR="00AD465E" w:rsidRPr="009F785B" w:rsidRDefault="00AD465E" w:rsidP="00476FC5">
      <w:pPr>
        <w:pStyle w:val="Estilo835"/>
      </w:pPr>
      <w:r w:rsidRPr="009F785B">
        <w:t>De acordo com os seus conhecimentos sobre Durkheim e em resposta ao questionamento formulado p</w:t>
      </w:r>
      <w:r>
        <w:t xml:space="preserve">elo autor, </w:t>
      </w:r>
      <w:r w:rsidRPr="009F785B">
        <w:t xml:space="preserve">a reação que resulta em </w:t>
      </w:r>
      <w:r>
        <w:t xml:space="preserve">uma pena emana </w:t>
      </w:r>
    </w:p>
    <w:p w:rsidR="00476FC5" w:rsidRDefault="00476FC5" w:rsidP="00476FC5">
      <w:pPr>
        <w:pStyle w:val="Estilo841"/>
      </w:pPr>
    </w:p>
    <w:p w:rsidR="00AD465E" w:rsidRPr="009F785B" w:rsidRDefault="00476FC5" w:rsidP="00476FC5">
      <w:pPr>
        <w:pStyle w:val="Estilo841"/>
      </w:pPr>
      <w:r>
        <w:t>a</w:t>
      </w:r>
      <w:r w:rsidR="00AD465E">
        <w:t xml:space="preserve">) </w:t>
      </w:r>
      <w:r>
        <w:tab/>
      </w:r>
      <w:r w:rsidR="00AD465E">
        <w:t>d</w:t>
      </w:r>
      <w:r w:rsidR="00AD465E" w:rsidRPr="009F785B">
        <w:t xml:space="preserve">a sociedade, pois, quem sofre os atentados e ameaças são os membros da sociedade e não a própria sociedade. </w:t>
      </w:r>
    </w:p>
    <w:p w:rsidR="00AD465E" w:rsidRPr="009F785B" w:rsidRDefault="00476FC5" w:rsidP="00476FC5">
      <w:pPr>
        <w:pStyle w:val="Estilo841"/>
      </w:pPr>
      <w:r>
        <w:t>b</w:t>
      </w:r>
      <w:r w:rsidR="00AD465E">
        <w:t xml:space="preserve">) </w:t>
      </w:r>
      <w:r>
        <w:tab/>
      </w:r>
      <w:r w:rsidR="00AD465E">
        <w:t>d</w:t>
      </w:r>
      <w:r w:rsidR="00AD465E" w:rsidRPr="009F785B">
        <w:t xml:space="preserve">o indivíduo, pois a pena, uma vez pronunciada, passa a ser uma punição individual e deixa de ter relação com a sociedade. </w:t>
      </w:r>
    </w:p>
    <w:p w:rsidR="00AD465E" w:rsidRPr="009F785B" w:rsidRDefault="00476FC5" w:rsidP="00476FC5">
      <w:pPr>
        <w:pStyle w:val="Estilo841"/>
      </w:pPr>
      <w:r>
        <w:t>c</w:t>
      </w:r>
      <w:r w:rsidR="00AD465E">
        <w:t xml:space="preserve">) </w:t>
      </w:r>
      <w:r>
        <w:tab/>
      </w:r>
      <w:r w:rsidR="00AD465E">
        <w:t>d</w:t>
      </w:r>
      <w:r w:rsidR="00AD465E" w:rsidRPr="009F785B">
        <w:t xml:space="preserve">a sociedade, pois quando um atentado é dirigido a um indivíduo, não deve ser considerado como um atentado à própria sociedade. </w:t>
      </w:r>
    </w:p>
    <w:p w:rsidR="00AD465E" w:rsidRPr="009F785B" w:rsidRDefault="00476FC5" w:rsidP="00476FC5">
      <w:pPr>
        <w:pStyle w:val="Estilo841"/>
      </w:pPr>
      <w:r>
        <w:t>d</w:t>
      </w:r>
      <w:r w:rsidR="00AD465E">
        <w:t xml:space="preserve">) </w:t>
      </w:r>
      <w:r>
        <w:tab/>
      </w:r>
      <w:r w:rsidR="00AD465E">
        <w:t>d</w:t>
      </w:r>
      <w:r w:rsidR="00AD465E" w:rsidRPr="009F785B">
        <w:t xml:space="preserve">o indivíduo, pois quem sofre atentados e ameaças são os membros da sociedade e não a própria sociedade. </w:t>
      </w:r>
    </w:p>
    <w:p w:rsidR="00AD465E" w:rsidRPr="003C72FE" w:rsidRDefault="00476FC5" w:rsidP="00476FC5">
      <w:pPr>
        <w:pStyle w:val="Estilo841"/>
        <w:rPr>
          <w:rStyle w:val="tgc"/>
          <w:rFonts w:ascii="Calibri" w:eastAsia="Calibri" w:hAnsi="Calibri" w:cs="Calibri"/>
          <w:bCs/>
          <w:color w:val="FF0000"/>
          <w:sz w:val="28"/>
          <w:szCs w:val="28"/>
        </w:rPr>
      </w:pPr>
      <w:r w:rsidRPr="003C72FE">
        <w:t>e</w:t>
      </w:r>
      <w:r w:rsidR="00AD465E" w:rsidRPr="003C72FE">
        <w:t xml:space="preserve">) </w:t>
      </w:r>
      <w:r>
        <w:tab/>
      </w:r>
      <w:r w:rsidR="00AD465E" w:rsidRPr="003C72FE">
        <w:t>da sociedade, pois, quando um atentado é dirigido a um indivíduo, este deve ser considerado como um atentado à própria sociedade.</w:t>
      </w:r>
    </w:p>
    <w:p w:rsidR="00AD465E" w:rsidRDefault="00AD465E" w:rsidP="00476FC5">
      <w:pPr>
        <w:pStyle w:val="Estilo841"/>
      </w:pPr>
    </w:p>
    <w:p w:rsidR="00574A0B" w:rsidRDefault="00574A0B" w:rsidP="00476FC5">
      <w:pPr>
        <w:pStyle w:val="Estilo841"/>
      </w:pPr>
    </w:p>
    <w:p w:rsidR="00AD465E" w:rsidRPr="007D5932" w:rsidRDefault="00AD465E" w:rsidP="00AD465E">
      <w:pPr>
        <w:pStyle w:val="Estilo839"/>
        <w:rPr>
          <w:sz w:val="22"/>
        </w:rPr>
      </w:pPr>
      <w:r w:rsidRPr="007D5932">
        <w:t>Considere o relato abaixo.</w:t>
      </w:r>
    </w:p>
    <w:p w:rsidR="00476FC5" w:rsidRDefault="00476FC5" w:rsidP="00476FC5">
      <w:pPr>
        <w:ind w:left="142" w:right="141"/>
        <w:jc w:val="both"/>
        <w:rPr>
          <w:rFonts w:ascii="Arial" w:hAnsi="Arial" w:cs="Arial"/>
          <w:i/>
          <w:sz w:val="18"/>
          <w:szCs w:val="18"/>
        </w:rPr>
      </w:pPr>
    </w:p>
    <w:p w:rsidR="00AD465E" w:rsidRPr="00476FC5" w:rsidRDefault="00AD465E" w:rsidP="00476FC5">
      <w:pPr>
        <w:ind w:left="142" w:right="141" w:firstLine="425"/>
        <w:jc w:val="both"/>
        <w:rPr>
          <w:rFonts w:ascii="Arial" w:hAnsi="Arial" w:cs="Arial"/>
          <w:i/>
          <w:sz w:val="18"/>
          <w:szCs w:val="18"/>
        </w:rPr>
      </w:pPr>
      <w:r w:rsidRPr="00476FC5">
        <w:rPr>
          <w:rFonts w:ascii="Arial" w:hAnsi="Arial" w:cs="Arial"/>
          <w:i/>
          <w:sz w:val="18"/>
          <w:szCs w:val="18"/>
        </w:rPr>
        <w:t>“A faceta monstruosa de Wellington Menezes de Oliveira, 23 anos, começou a revelar-se às 8h 11 de quinta-feira, quando ele entrou em uma sala de aula, sorriu e avisou aos estudantes: “Vim dar uma palestra”. Em seguida, abriu a sacola que havia depositado sobre a mesa da professora, sacou um revólver calibre 38 e atirou contra a cabeça de uma aluna e depois de outra – as primeiras duas crianças do total de doze anos que ele matou. Outras estranhas facetas desse rapaz adotado com dias de vida por parentes da mãe esquizofrênica já tinham vindo à tona antes.</w:t>
      </w:r>
    </w:p>
    <w:p w:rsidR="00AD465E" w:rsidRPr="00476FC5" w:rsidRDefault="00AD465E" w:rsidP="00476FC5">
      <w:pPr>
        <w:ind w:left="142" w:right="141" w:firstLine="425"/>
        <w:jc w:val="both"/>
        <w:rPr>
          <w:rFonts w:ascii="Arial" w:hAnsi="Arial" w:cs="Arial"/>
          <w:i/>
          <w:sz w:val="18"/>
          <w:szCs w:val="18"/>
        </w:rPr>
      </w:pPr>
      <w:r w:rsidRPr="00476FC5">
        <w:rPr>
          <w:rFonts w:ascii="Arial" w:hAnsi="Arial" w:cs="Arial"/>
          <w:i/>
          <w:sz w:val="18"/>
          <w:szCs w:val="18"/>
        </w:rPr>
        <w:t>Na escola do bairro de Realengo em que cursou o ensino fundamental, Wellington era o esquisitão da turma, foi inúmeras vezes vítima de um fenômeno social denominado de “bullying”. Em casa, vivia pendurado na barra da saia da mãe e usava camisa e calça sociais mesmo nas poucas festas em que aparecia. Mas os traços mais evidentes de seu desequilíbrio mental surgiram há cerca de dois anos. Passou a usar só roupas pretas e deixou crescer a barba e rabiscava no papel bonecos que dizia serem homens bomba. A um primo que prestou depoimento à polícia, chegou a dizer: Vou jogar um avião contra o Cristo Redentor”.</w:t>
      </w:r>
    </w:p>
    <w:p w:rsidR="00AD465E" w:rsidRPr="00476FC5" w:rsidRDefault="00AD465E" w:rsidP="00476FC5">
      <w:pPr>
        <w:ind w:right="141"/>
        <w:jc w:val="right"/>
        <w:rPr>
          <w:rFonts w:ascii="Arial" w:hAnsi="Arial" w:cs="Arial"/>
          <w:b/>
          <w:sz w:val="14"/>
          <w:szCs w:val="20"/>
        </w:rPr>
      </w:pPr>
      <w:r w:rsidRPr="00476FC5">
        <w:rPr>
          <w:rFonts w:ascii="Arial" w:hAnsi="Arial" w:cs="Arial"/>
          <w:i/>
          <w:sz w:val="14"/>
          <w:szCs w:val="20"/>
        </w:rPr>
        <w:t xml:space="preserve">                                                                    </w:t>
      </w:r>
      <w:r w:rsidRPr="00476FC5">
        <w:rPr>
          <w:rFonts w:ascii="Arial" w:hAnsi="Arial" w:cs="Arial"/>
          <w:b/>
          <w:sz w:val="14"/>
          <w:szCs w:val="20"/>
        </w:rPr>
        <w:t>Revista Veja 13 de abril, 2011.</w:t>
      </w:r>
    </w:p>
    <w:p w:rsidR="00476FC5" w:rsidRDefault="00476FC5" w:rsidP="00476FC5">
      <w:pPr>
        <w:ind w:left="142"/>
        <w:jc w:val="both"/>
        <w:rPr>
          <w:rFonts w:ascii="Arial" w:hAnsi="Arial" w:cs="Arial"/>
          <w:sz w:val="18"/>
          <w:szCs w:val="20"/>
        </w:rPr>
      </w:pPr>
    </w:p>
    <w:p w:rsidR="00AD465E" w:rsidRPr="00476FC5" w:rsidRDefault="00AD465E" w:rsidP="00476FC5">
      <w:pPr>
        <w:ind w:left="142" w:right="141"/>
        <w:jc w:val="both"/>
        <w:rPr>
          <w:rFonts w:ascii="Arial" w:hAnsi="Arial" w:cs="Arial"/>
          <w:sz w:val="18"/>
          <w:szCs w:val="20"/>
        </w:rPr>
      </w:pPr>
      <w:r w:rsidRPr="00476FC5">
        <w:rPr>
          <w:rFonts w:ascii="Arial" w:hAnsi="Arial" w:cs="Arial"/>
          <w:sz w:val="18"/>
          <w:szCs w:val="20"/>
        </w:rPr>
        <w:t>O relato descrito teve um desfecho trágico, pois após executar 12 estudantes, no colégio Tasso da Silveira, na Zona Oeste do Rio de Janeiro, Wellington Menezes de Oliveira acabou suicidando-se depois de ser atingido com um tiro por um policial.  O exemplo é uma referência clássica de suicídio egoísta. Para Durkheim</w:t>
      </w:r>
      <w:r w:rsidR="005654A7">
        <w:rPr>
          <w:rFonts w:ascii="Arial" w:hAnsi="Arial" w:cs="Arial"/>
          <w:sz w:val="18"/>
          <w:szCs w:val="20"/>
        </w:rPr>
        <w:t>,</w:t>
      </w:r>
      <w:r w:rsidRPr="00476FC5">
        <w:rPr>
          <w:rFonts w:ascii="Arial" w:hAnsi="Arial" w:cs="Arial"/>
          <w:sz w:val="18"/>
          <w:szCs w:val="20"/>
        </w:rPr>
        <w:t xml:space="preserve"> o suicídio não possui apenas motivações psicológicas, mas também coletivas, explique por que?</w:t>
      </w: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p w:rsidR="00476FC5" w:rsidRDefault="00476FC5" w:rsidP="00476FC5">
      <w:pPr>
        <w:pStyle w:val="Estilo840"/>
      </w:pPr>
    </w:p>
    <w:sectPr w:rsidR="00476FC5" w:rsidSect="00D11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5" w:rsidRDefault="00AF5FC5">
      <w:r>
        <w:separator/>
      </w:r>
    </w:p>
  </w:endnote>
  <w:endnote w:type="continuationSeparator" w:id="0">
    <w:p w:rsidR="00AF5FC5" w:rsidRDefault="00A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E332777" wp14:editId="6B7DE4EF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CA9E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7C48375" wp14:editId="28F4093B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0513A" w:rsidRPr="00C0513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48375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0513A" w:rsidRPr="00C0513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3512DB39" wp14:editId="2F70FBCA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2C5F3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C78454F" wp14:editId="4D07A1C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0513A" w:rsidRPr="00C0513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78454F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0513A" w:rsidRPr="00C0513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72EE7BED" wp14:editId="4215292F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4F002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40D9D41B" wp14:editId="7FAAD61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0513A" w:rsidRPr="00C0513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D9D41B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0513A" w:rsidRPr="00C0513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5" w:rsidRDefault="00AF5FC5">
      <w:r>
        <w:separator/>
      </w:r>
    </w:p>
  </w:footnote>
  <w:footnote w:type="continuationSeparator" w:id="0">
    <w:p w:rsidR="00AF5FC5" w:rsidRDefault="00AF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C252C41" wp14:editId="391FA2BD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0DB30082" wp14:editId="27273885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6B0101F" wp14:editId="4B674BE1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010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54D6CFAD" wp14:editId="4FEA10FD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D0EA3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619A9E63" wp14:editId="03BB2C1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3E960B19" wp14:editId="1D349B25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0630A4D9" wp14:editId="1330DA7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0A4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43A0BED" wp14:editId="51E8773C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B3D0E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38D5D3A4" wp14:editId="7E250295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C0513A" w:rsidRDefault="009839CC" w:rsidP="00F15F12">
                          <w:pPr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C0513A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  <w:r w:rsidR="00C3270D" w:rsidRPr="00C0513A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- EM</w:t>
                          </w:r>
                        </w:p>
                        <w:p w:rsidR="00F06357" w:rsidRPr="00C0513A" w:rsidRDefault="00F06357" w:rsidP="00F15F12">
                          <w:pPr>
                            <w:rPr>
                              <w:rFonts w:ascii="Maiandra GD" w:hAnsi="Maiandra GD"/>
                              <w:b/>
                              <w:sz w:val="1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C0513A" w:rsidRDefault="000B5F9B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C0513A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CIÊNCIAS DA </w:t>
                          </w:r>
                          <w:r w:rsidR="009D4D1C" w:rsidRPr="00C0513A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HUMANAS</w:t>
                          </w:r>
                        </w:p>
                        <w:p w:rsidR="00EC0C31" w:rsidRPr="00C0513A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6"/>
                            </w:rPr>
                          </w:pPr>
                        </w:p>
                        <w:p w:rsidR="00EC0C31" w:rsidRPr="00C0513A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C0513A">
                            <w:rPr>
                              <w:b/>
                            </w:rPr>
                            <w:t>FICHA DE ATIVIDADE 0</w:t>
                          </w:r>
                          <w:r w:rsidR="00C3270D" w:rsidRPr="00C0513A">
                            <w:rPr>
                              <w:b/>
                            </w:rPr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5D3A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C0513A" w:rsidRDefault="009839CC" w:rsidP="00F15F12">
                    <w:pPr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C0513A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  <w:r w:rsidR="00C3270D" w:rsidRPr="00C0513A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- EM</w:t>
                    </w:r>
                  </w:p>
                  <w:p w:rsidR="00F06357" w:rsidRPr="00C0513A" w:rsidRDefault="00F06357" w:rsidP="00F15F12">
                    <w:pPr>
                      <w:rPr>
                        <w:rFonts w:ascii="Maiandra GD" w:hAnsi="Maiandra GD"/>
                        <w:b/>
                        <w:sz w:val="1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C0513A" w:rsidRDefault="000B5F9B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C0513A">
                      <w:rPr>
                        <w:rFonts w:ascii="Maiandra GD" w:hAnsi="Maiandra GD"/>
                        <w:b/>
                        <w:sz w:val="22"/>
                      </w:rPr>
                      <w:t xml:space="preserve">CIÊNCIAS DA </w:t>
                    </w:r>
                    <w:r w:rsidR="009D4D1C" w:rsidRPr="00C0513A">
                      <w:rPr>
                        <w:rFonts w:ascii="Maiandra GD" w:hAnsi="Maiandra GD"/>
                        <w:b/>
                        <w:sz w:val="22"/>
                      </w:rPr>
                      <w:t>HUMANAS</w:t>
                    </w:r>
                  </w:p>
                  <w:p w:rsidR="00EC0C31" w:rsidRPr="00C0513A" w:rsidRDefault="00EC0C31" w:rsidP="00EC0C31">
                    <w:pPr>
                      <w:rPr>
                        <w:rFonts w:ascii="Maiandra GD" w:hAnsi="Maiandra GD"/>
                        <w:b/>
                        <w:sz w:val="16"/>
                      </w:rPr>
                    </w:pPr>
                  </w:p>
                  <w:p w:rsidR="00EC0C31" w:rsidRPr="00C0513A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C0513A">
                      <w:rPr>
                        <w:b/>
                      </w:rPr>
                      <w:t>FICHA DE ATIVIDADE 0</w:t>
                    </w:r>
                    <w:r w:rsidR="00C3270D" w:rsidRPr="00C0513A">
                      <w:rPr>
                        <w:b/>
                      </w:rPr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CE0FD52" wp14:editId="0E6321E9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0C18A983" wp14:editId="292BAD1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0B9CA639" wp14:editId="13A1A224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B4580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AD5F2DB" wp14:editId="3CD282BE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5F2DB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D02"/>
    <w:multiLevelType w:val="hybridMultilevel"/>
    <w:tmpl w:val="063470DC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F44"/>
    <w:multiLevelType w:val="hybridMultilevel"/>
    <w:tmpl w:val="3798299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F1091"/>
    <w:multiLevelType w:val="hybridMultilevel"/>
    <w:tmpl w:val="2CF625AC"/>
    <w:lvl w:ilvl="0" w:tplc="4D7C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86596"/>
    <w:multiLevelType w:val="hybridMultilevel"/>
    <w:tmpl w:val="05FAAA82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D9124A"/>
    <w:multiLevelType w:val="hybridMultilevel"/>
    <w:tmpl w:val="B686A06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7F5D"/>
    <w:multiLevelType w:val="hybridMultilevel"/>
    <w:tmpl w:val="B9242624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93AFF"/>
    <w:multiLevelType w:val="hybridMultilevel"/>
    <w:tmpl w:val="5F605AAA"/>
    <w:lvl w:ilvl="0" w:tplc="8494BD28">
      <w:start w:val="1"/>
      <w:numFmt w:val="decimal"/>
      <w:pStyle w:val="Estilo804"/>
      <w:lvlText w:val="%1)"/>
      <w:lvlJc w:val="left"/>
      <w:pPr>
        <w:ind w:left="644" w:hanging="360"/>
      </w:pPr>
      <w:rPr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8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7CD"/>
    <w:multiLevelType w:val="hybridMultilevel"/>
    <w:tmpl w:val="CCE868D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7E119F"/>
    <w:multiLevelType w:val="hybridMultilevel"/>
    <w:tmpl w:val="52C01C0A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4"/>
  </w:num>
  <w:num w:numId="4">
    <w:abstractNumId w:val="31"/>
  </w:num>
  <w:num w:numId="5">
    <w:abstractNumId w:val="44"/>
  </w:num>
  <w:num w:numId="6">
    <w:abstractNumId w:val="3"/>
  </w:num>
  <w:num w:numId="7">
    <w:abstractNumId w:val="46"/>
  </w:num>
  <w:num w:numId="8">
    <w:abstractNumId w:val="13"/>
  </w:num>
  <w:num w:numId="9">
    <w:abstractNumId w:val="12"/>
  </w:num>
  <w:num w:numId="10">
    <w:abstractNumId w:val="43"/>
  </w:num>
  <w:num w:numId="11">
    <w:abstractNumId w:val="6"/>
  </w:num>
  <w:num w:numId="12">
    <w:abstractNumId w:val="23"/>
  </w:num>
  <w:num w:numId="13">
    <w:abstractNumId w:val="24"/>
  </w:num>
  <w:num w:numId="14">
    <w:abstractNumId w:val="34"/>
  </w:num>
  <w:num w:numId="15">
    <w:abstractNumId w:val="35"/>
  </w:num>
  <w:num w:numId="16">
    <w:abstractNumId w:val="29"/>
  </w:num>
  <w:num w:numId="17">
    <w:abstractNumId w:val="38"/>
  </w:num>
  <w:num w:numId="18">
    <w:abstractNumId w:val="14"/>
  </w:num>
  <w:num w:numId="19">
    <w:abstractNumId w:val="28"/>
  </w:num>
  <w:num w:numId="20">
    <w:abstractNumId w:val="33"/>
  </w:num>
  <w:num w:numId="21">
    <w:abstractNumId w:val="2"/>
  </w:num>
  <w:num w:numId="22">
    <w:abstractNumId w:val="22"/>
  </w:num>
  <w:num w:numId="23">
    <w:abstractNumId w:val="15"/>
  </w:num>
  <w:num w:numId="24">
    <w:abstractNumId w:val="36"/>
  </w:num>
  <w:num w:numId="25">
    <w:abstractNumId w:val="37"/>
  </w:num>
  <w:num w:numId="26">
    <w:abstractNumId w:val="0"/>
  </w:num>
  <w:num w:numId="27">
    <w:abstractNumId w:val="8"/>
  </w:num>
  <w:num w:numId="28">
    <w:abstractNumId w:val="32"/>
  </w:num>
  <w:num w:numId="29">
    <w:abstractNumId w:val="40"/>
  </w:num>
  <w:num w:numId="30">
    <w:abstractNumId w:val="45"/>
  </w:num>
  <w:num w:numId="31">
    <w:abstractNumId w:val="16"/>
  </w:num>
  <w:num w:numId="32">
    <w:abstractNumId w:val="1"/>
  </w:num>
  <w:num w:numId="33">
    <w:abstractNumId w:val="25"/>
  </w:num>
  <w:num w:numId="34">
    <w:abstractNumId w:val="11"/>
  </w:num>
  <w:num w:numId="35">
    <w:abstractNumId w:val="26"/>
  </w:num>
  <w:num w:numId="36">
    <w:abstractNumId w:val="39"/>
  </w:num>
  <w:num w:numId="37">
    <w:abstractNumId w:val="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9"/>
  </w:num>
  <w:num w:numId="42">
    <w:abstractNumId w:val="21"/>
  </w:num>
  <w:num w:numId="43">
    <w:abstractNumId w:val="10"/>
  </w:num>
  <w:num w:numId="44">
    <w:abstractNumId w:val="41"/>
  </w:num>
  <w:num w:numId="45">
    <w:abstractNumId w:val="7"/>
  </w:num>
  <w:num w:numId="46">
    <w:abstractNumId w:val="18"/>
  </w:num>
  <w:num w:numId="47">
    <w:abstractNumId w:val="26"/>
    <w:lvlOverride w:ilvl="0">
      <w:startOverride w:val="1"/>
    </w:lvlOverride>
  </w:num>
  <w:num w:numId="48">
    <w:abstractNumId w:val="17"/>
  </w:num>
  <w:num w:numId="49">
    <w:abstractNumId w:val="26"/>
    <w:lvlOverride w:ilvl="0">
      <w:startOverride w:val="1"/>
    </w:lvlOverride>
  </w:num>
  <w:num w:numId="50">
    <w:abstractNumId w:val="26"/>
    <w:lvlOverride w:ilvl="0">
      <w:startOverride w:val="1"/>
    </w:lvlOverride>
  </w:num>
  <w:num w:numId="51">
    <w:abstractNumId w:val="26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A54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52E4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4EAE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A7B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4578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76FC5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4A7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A0B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B15"/>
    <w:rsid w:val="006E6DE8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195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6814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4D1C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465E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5FC5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13A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270D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06F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0E54"/>
    <w:rsid w:val="00F61558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17C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F4A15CC-F105-4230-BBEE-BA2676A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9D4D1C"/>
  </w:style>
  <w:style w:type="paragraph" w:customStyle="1" w:styleId="Estilo835">
    <w:name w:val="Estilo835"/>
    <w:basedOn w:val="Estilo830"/>
    <w:link w:val="Estilo835Char"/>
    <w:qFormat/>
    <w:rsid w:val="009D4D1C"/>
  </w:style>
  <w:style w:type="character" w:customStyle="1" w:styleId="Estilo834Char">
    <w:name w:val="Estilo834 Char"/>
    <w:basedOn w:val="Estilo825Char"/>
    <w:link w:val="Estilo834"/>
    <w:rsid w:val="009D4D1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3"/>
    <w:link w:val="Estilo836Char"/>
    <w:qFormat/>
    <w:rsid w:val="009D4D1C"/>
  </w:style>
  <w:style w:type="character" w:customStyle="1" w:styleId="Estilo835Char">
    <w:name w:val="Estilo835 Char"/>
    <w:basedOn w:val="Estilo830Char"/>
    <w:link w:val="Estilo835"/>
    <w:rsid w:val="009D4D1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7">
    <w:name w:val="Estilo837"/>
    <w:basedOn w:val="Estilo828"/>
    <w:link w:val="Estilo837Char"/>
    <w:qFormat/>
    <w:rsid w:val="009D4D1C"/>
  </w:style>
  <w:style w:type="character" w:customStyle="1" w:styleId="Estilo836Char">
    <w:name w:val="Estilo836 Char"/>
    <w:basedOn w:val="Estilo833Char"/>
    <w:link w:val="Estilo836"/>
    <w:rsid w:val="009D4D1C"/>
    <w:rPr>
      <w:rFonts w:ascii="Arial" w:hAnsi="Arial" w:cs="Arial"/>
      <w:sz w:val="18"/>
      <w:szCs w:val="24"/>
    </w:rPr>
  </w:style>
  <w:style w:type="paragraph" w:customStyle="1" w:styleId="Estilo838">
    <w:name w:val="Estilo838"/>
    <w:basedOn w:val="Estilo814"/>
    <w:link w:val="Estilo838Char"/>
    <w:qFormat/>
    <w:rsid w:val="009D4D1C"/>
    <w:pPr>
      <w:pBdr>
        <w:bottom w:val="single" w:sz="4" w:space="1" w:color="auto"/>
      </w:pBdr>
    </w:pPr>
  </w:style>
  <w:style w:type="character" w:customStyle="1" w:styleId="Estilo837Char">
    <w:name w:val="Estilo837 Char"/>
    <w:basedOn w:val="Estilo828Char"/>
    <w:link w:val="Estilo837"/>
    <w:rsid w:val="009D4D1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Estilo814Char"/>
    <w:link w:val="Estilo838"/>
    <w:rsid w:val="009D4D1C"/>
    <w:rPr>
      <w:rFonts w:ascii="Maiandra GD" w:hAnsi="Maiandra GD"/>
      <w:b/>
      <w:sz w:val="28"/>
      <w:szCs w:val="24"/>
    </w:rPr>
  </w:style>
  <w:style w:type="paragraph" w:customStyle="1" w:styleId="Estilo839">
    <w:name w:val="Estilo839"/>
    <w:basedOn w:val="Estilo834"/>
    <w:link w:val="Estilo839Char"/>
    <w:qFormat/>
    <w:rsid w:val="00EF306F"/>
  </w:style>
  <w:style w:type="paragraph" w:customStyle="1" w:styleId="Estilo840">
    <w:name w:val="Estilo840"/>
    <w:basedOn w:val="Estilo837"/>
    <w:link w:val="Estilo840Char"/>
    <w:qFormat/>
    <w:rsid w:val="00EF306F"/>
  </w:style>
  <w:style w:type="character" w:customStyle="1" w:styleId="Estilo839Char">
    <w:name w:val="Estilo839 Char"/>
    <w:basedOn w:val="Estilo834Char"/>
    <w:link w:val="Estilo839"/>
    <w:rsid w:val="00EF306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26"/>
    <w:link w:val="Estilo841Char"/>
    <w:qFormat/>
    <w:rsid w:val="00EF306F"/>
  </w:style>
  <w:style w:type="character" w:customStyle="1" w:styleId="Estilo840Char">
    <w:name w:val="Estilo840 Char"/>
    <w:basedOn w:val="Estilo837Char"/>
    <w:link w:val="Estilo840"/>
    <w:rsid w:val="00EF306F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1Char">
    <w:name w:val="Estilo841 Char"/>
    <w:basedOn w:val="Estilo826Char"/>
    <w:link w:val="Estilo841"/>
    <w:rsid w:val="00EF306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jp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7167-CCCB-4462-BA44-60A9634B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1494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10</cp:revision>
  <cp:lastPrinted>2020-03-20T22:10:00Z</cp:lastPrinted>
  <dcterms:created xsi:type="dcterms:W3CDTF">2020-03-29T20:32:00Z</dcterms:created>
  <dcterms:modified xsi:type="dcterms:W3CDTF">2020-03-29T20:40:00Z</dcterms:modified>
</cp:coreProperties>
</file>